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HU</w:t>
      </w:r>
    </w:p>
    <w:p w14:paraId="24333E7A" w14:textId="068FF302" w:rsidR="008D696E" w:rsidRDefault="008D696E" w:rsidP="00A33695">
      <w:pPr>
        <w:jc w:val="center"/>
        <w:rPr>
          <w:rFonts w:ascii="Times New Roman" w:hAnsi="Times New Roman"/>
          <w:sz w:val="24"/>
        </w:rPr>
      </w:pPr>
      <w:r>
        <w:rPr>
          <w:rFonts w:ascii="Times New Roman" w:hAnsi="Times New Roman"/>
          <w:sz w:val="24"/>
        </w:rPr>
        <w:t>II. MELLÉKLET</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„XI. MELLÉKLET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ÚTMUTATÓ A K-NPR ALAPJÁN SZÁMÍTOTT RtM K-FAKTOR KÖVETELMÉNYRE VONATKOZÓ ADATSZOLGÁLTATÁSHOZ</w:t>
      </w:r>
    </w:p>
    <w:p w14:paraId="3DEB94EC" w14:textId="77777777" w:rsidR="00783881" w:rsidRPr="00696301" w:rsidRDefault="002648B0" w:rsidP="00487A02">
      <w:pPr>
        <w:pStyle w:val="InstructionsText"/>
      </w:pPr>
      <w:r>
        <w:t>Tartalomjegyzék</w:t>
      </w:r>
    </w:p>
    <w:p w14:paraId="0D1BE542" w14:textId="7F59D7C1" w:rsidR="00392F86" w:rsidRDefault="00745369">
      <w:pPr>
        <w:pStyle w:val="TOC2"/>
        <w:rPr>
          <w:rFonts w:asciiTheme="minorHAnsi" w:eastAsiaTheme="minorEastAsia" w:hAnsiTheme="minorHAnsi" w:cstheme="minorBidi"/>
          <w:b w:val="0"/>
          <w:smallCaps w:val="0"/>
          <w:kern w:val="2"/>
          <w:sz w:val="24"/>
          <w:szCs w:val="24"/>
          <w:lang w:val="de-DE" w:eastAsia="de-D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833233" w:history="1">
        <w:r w:rsidR="00392F86" w:rsidRPr="00A84505">
          <w:rPr>
            <w:rStyle w:val="Hyperlink"/>
            <w:rFonts w:ascii="Times New Roman" w:hAnsi="Times New Roman"/>
          </w:rPr>
          <w:t>I. RÉSZ: ÁLTALÁNOS ÚTMUTATÓ</w:t>
        </w:r>
        <w:r w:rsidR="00392F86">
          <w:rPr>
            <w:webHidden/>
          </w:rPr>
          <w:tab/>
        </w:r>
        <w:r w:rsidR="00392F86">
          <w:rPr>
            <w:webHidden/>
          </w:rPr>
          <w:fldChar w:fldCharType="begin"/>
        </w:r>
        <w:r w:rsidR="00392F86">
          <w:rPr>
            <w:webHidden/>
          </w:rPr>
          <w:instrText xml:space="preserve"> PAGEREF _Toc210833233 \h </w:instrText>
        </w:r>
        <w:r w:rsidR="00392F86">
          <w:rPr>
            <w:webHidden/>
          </w:rPr>
        </w:r>
        <w:r w:rsidR="00392F86">
          <w:rPr>
            <w:webHidden/>
          </w:rPr>
          <w:fldChar w:fldCharType="separate"/>
        </w:r>
        <w:r w:rsidR="00392F86">
          <w:rPr>
            <w:webHidden/>
          </w:rPr>
          <w:t>2</w:t>
        </w:r>
        <w:r w:rsidR="00392F86">
          <w:rPr>
            <w:webHidden/>
          </w:rPr>
          <w:fldChar w:fldCharType="end"/>
        </w:r>
      </w:hyperlink>
    </w:p>
    <w:p w14:paraId="0236C1F0" w14:textId="3157746C"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34" w:history="1">
        <w:r w:rsidRPr="00A84505">
          <w:rPr>
            <w:rStyle w:val="Hyperlink"/>
            <w:rFonts w:ascii="Times New Roman" w:hAnsi="Times New Roman"/>
          </w:rPr>
          <w:t>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SZABÁLYOK</w:t>
        </w:r>
        <w:r>
          <w:rPr>
            <w:webHidden/>
          </w:rPr>
          <w:tab/>
        </w:r>
        <w:r>
          <w:rPr>
            <w:webHidden/>
          </w:rPr>
          <w:fldChar w:fldCharType="begin"/>
        </w:r>
        <w:r>
          <w:rPr>
            <w:webHidden/>
          </w:rPr>
          <w:instrText xml:space="preserve"> PAGEREF _Toc210833234 \h </w:instrText>
        </w:r>
        <w:r>
          <w:rPr>
            <w:webHidden/>
          </w:rPr>
        </w:r>
        <w:r>
          <w:rPr>
            <w:webHidden/>
          </w:rPr>
          <w:fldChar w:fldCharType="separate"/>
        </w:r>
        <w:r>
          <w:rPr>
            <w:webHidden/>
          </w:rPr>
          <w:t>2</w:t>
        </w:r>
        <w:r>
          <w:rPr>
            <w:webHidden/>
          </w:rPr>
          <w:fldChar w:fldCharType="end"/>
        </w:r>
      </w:hyperlink>
    </w:p>
    <w:p w14:paraId="09BAC711" w14:textId="3E6E424A"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35" w:history="1">
        <w:r w:rsidRPr="00A84505">
          <w:rPr>
            <w:rStyle w:val="Hyperlink"/>
            <w:rFonts w:ascii="Times New Roman" w:hAnsi="Times New Roman"/>
          </w:rPr>
          <w:t>1.1.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Számozási szabályok</w:t>
        </w:r>
        <w:r>
          <w:rPr>
            <w:webHidden/>
          </w:rPr>
          <w:tab/>
        </w:r>
        <w:r>
          <w:rPr>
            <w:webHidden/>
          </w:rPr>
          <w:fldChar w:fldCharType="begin"/>
        </w:r>
        <w:r>
          <w:rPr>
            <w:webHidden/>
          </w:rPr>
          <w:instrText xml:space="preserve"> PAGEREF _Toc210833235 \h </w:instrText>
        </w:r>
        <w:r>
          <w:rPr>
            <w:webHidden/>
          </w:rPr>
        </w:r>
        <w:r>
          <w:rPr>
            <w:webHidden/>
          </w:rPr>
          <w:fldChar w:fldCharType="separate"/>
        </w:r>
        <w:r>
          <w:rPr>
            <w:webHidden/>
          </w:rPr>
          <w:t>2</w:t>
        </w:r>
        <w:r>
          <w:rPr>
            <w:webHidden/>
          </w:rPr>
          <w:fldChar w:fldCharType="end"/>
        </w:r>
      </w:hyperlink>
    </w:p>
    <w:p w14:paraId="5D739777" w14:textId="03B38904"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36" w:history="1">
        <w:r w:rsidRPr="00A84505">
          <w:rPr>
            <w:rStyle w:val="Hyperlink"/>
            <w:rFonts w:ascii="Times New Roman" w:hAnsi="Times New Roman"/>
          </w:rPr>
          <w:t>1.2.</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Előjelre vonatkozó szabályok</w:t>
        </w:r>
        <w:r>
          <w:rPr>
            <w:webHidden/>
          </w:rPr>
          <w:tab/>
        </w:r>
        <w:r>
          <w:rPr>
            <w:webHidden/>
          </w:rPr>
          <w:fldChar w:fldCharType="begin"/>
        </w:r>
        <w:r>
          <w:rPr>
            <w:webHidden/>
          </w:rPr>
          <w:instrText xml:space="preserve"> PAGEREF _Toc210833236 \h </w:instrText>
        </w:r>
        <w:r>
          <w:rPr>
            <w:webHidden/>
          </w:rPr>
        </w:r>
        <w:r>
          <w:rPr>
            <w:webHidden/>
          </w:rPr>
          <w:fldChar w:fldCharType="separate"/>
        </w:r>
        <w:r>
          <w:rPr>
            <w:webHidden/>
          </w:rPr>
          <w:t>2</w:t>
        </w:r>
        <w:r>
          <w:rPr>
            <w:webHidden/>
          </w:rPr>
          <w:fldChar w:fldCharType="end"/>
        </w:r>
      </w:hyperlink>
    </w:p>
    <w:p w14:paraId="36869B38" w14:textId="1FF03510"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37" w:history="1">
        <w:r w:rsidRPr="00A84505">
          <w:rPr>
            <w:rStyle w:val="Hyperlink"/>
            <w:rFonts w:ascii="Times New Roman" w:hAnsi="Times New Roman"/>
          </w:rPr>
          <w:t>1.3.</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Hivatkozások az 575/2013/EU rendeletre</w:t>
        </w:r>
        <w:r>
          <w:rPr>
            <w:webHidden/>
          </w:rPr>
          <w:tab/>
        </w:r>
        <w:r>
          <w:rPr>
            <w:webHidden/>
          </w:rPr>
          <w:fldChar w:fldCharType="begin"/>
        </w:r>
        <w:r>
          <w:rPr>
            <w:webHidden/>
          </w:rPr>
          <w:instrText xml:space="preserve"> PAGEREF _Toc210833237 \h </w:instrText>
        </w:r>
        <w:r>
          <w:rPr>
            <w:webHidden/>
          </w:rPr>
        </w:r>
        <w:r>
          <w:rPr>
            <w:webHidden/>
          </w:rPr>
          <w:fldChar w:fldCharType="separate"/>
        </w:r>
        <w:r>
          <w:rPr>
            <w:webHidden/>
          </w:rPr>
          <w:t>2</w:t>
        </w:r>
        <w:r>
          <w:rPr>
            <w:webHidden/>
          </w:rPr>
          <w:fldChar w:fldCharType="end"/>
        </w:r>
      </w:hyperlink>
    </w:p>
    <w:p w14:paraId="64FD8C95" w14:textId="0E51A593"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38" w:history="1">
        <w:r w:rsidRPr="00A84505">
          <w:rPr>
            <w:rStyle w:val="Hyperlink"/>
            <w:rFonts w:ascii="Times New Roman" w:hAnsi="Times New Roman"/>
          </w:rPr>
          <w:t>II. RÉSZ: TÁBLASPECIFIKUS ÚTMUTATÓ PIACI KOCKÁZATI TÁBLACSOPORT</w:t>
        </w:r>
        <w:r>
          <w:rPr>
            <w:webHidden/>
          </w:rPr>
          <w:tab/>
        </w:r>
        <w:r>
          <w:rPr>
            <w:webHidden/>
          </w:rPr>
          <w:fldChar w:fldCharType="begin"/>
        </w:r>
        <w:r>
          <w:rPr>
            <w:webHidden/>
          </w:rPr>
          <w:instrText xml:space="preserve"> PAGEREF _Toc210833238 \h </w:instrText>
        </w:r>
        <w:r>
          <w:rPr>
            <w:webHidden/>
          </w:rPr>
        </w:r>
        <w:r>
          <w:rPr>
            <w:webHidden/>
          </w:rPr>
          <w:fldChar w:fldCharType="separate"/>
        </w:r>
        <w:r>
          <w:rPr>
            <w:webHidden/>
          </w:rPr>
          <w:t>3</w:t>
        </w:r>
        <w:r>
          <w:rPr>
            <w:webHidden/>
          </w:rPr>
          <w:fldChar w:fldCharType="end"/>
        </w:r>
      </w:hyperlink>
    </w:p>
    <w:p w14:paraId="6E0716C7" w14:textId="20145D8B"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39" w:history="1">
        <w:r w:rsidRPr="00A84505">
          <w:rPr>
            <w:rStyle w:val="Hyperlink"/>
            <w:rFonts w:ascii="Times New Roman" w:hAnsi="Times New Roman"/>
          </w:rPr>
          <w:t>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Általános megjegyzések</w:t>
        </w:r>
        <w:r>
          <w:rPr>
            <w:webHidden/>
          </w:rPr>
          <w:tab/>
        </w:r>
        <w:r>
          <w:rPr>
            <w:webHidden/>
          </w:rPr>
          <w:fldChar w:fldCharType="begin"/>
        </w:r>
        <w:r>
          <w:rPr>
            <w:webHidden/>
          </w:rPr>
          <w:instrText xml:space="preserve"> PAGEREF _Toc210833239 \h </w:instrText>
        </w:r>
        <w:r>
          <w:rPr>
            <w:webHidden/>
          </w:rPr>
        </w:r>
        <w:r>
          <w:rPr>
            <w:webHidden/>
          </w:rPr>
          <w:fldChar w:fldCharType="separate"/>
        </w:r>
        <w:r>
          <w:rPr>
            <w:webHidden/>
          </w:rPr>
          <w:t>3</w:t>
        </w:r>
        <w:r>
          <w:rPr>
            <w:webHidden/>
          </w:rPr>
          <w:fldChar w:fldCharType="end"/>
        </w:r>
      </w:hyperlink>
    </w:p>
    <w:p w14:paraId="2101CAA7" w14:textId="61DD7FC7"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0" w:history="1">
        <w:r w:rsidRPr="00A84505">
          <w:rPr>
            <w:rStyle w:val="Hyperlink"/>
            <w:rFonts w:ascii="Times New Roman" w:hAnsi="Times New Roman"/>
          </w:rPr>
          <w:t>2.</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C 18.00 – Piaci kockázat: A kereskedett, hitelviszonyt megtestesítő értékpapírok pozíciókockázatának sztenderd módszere (MKR SA TDI)</w:t>
        </w:r>
        <w:r>
          <w:rPr>
            <w:webHidden/>
          </w:rPr>
          <w:tab/>
        </w:r>
        <w:r>
          <w:rPr>
            <w:webHidden/>
          </w:rPr>
          <w:fldChar w:fldCharType="begin"/>
        </w:r>
        <w:r>
          <w:rPr>
            <w:webHidden/>
          </w:rPr>
          <w:instrText xml:space="preserve"> PAGEREF _Toc210833240 \h </w:instrText>
        </w:r>
        <w:r>
          <w:rPr>
            <w:webHidden/>
          </w:rPr>
        </w:r>
        <w:r>
          <w:rPr>
            <w:webHidden/>
          </w:rPr>
          <w:fldChar w:fldCharType="separate"/>
        </w:r>
        <w:r>
          <w:rPr>
            <w:webHidden/>
          </w:rPr>
          <w:t>3</w:t>
        </w:r>
        <w:r>
          <w:rPr>
            <w:webHidden/>
          </w:rPr>
          <w:fldChar w:fldCharType="end"/>
        </w:r>
      </w:hyperlink>
    </w:p>
    <w:p w14:paraId="5CC833F8" w14:textId="797E4F7B"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1" w:history="1">
        <w:r w:rsidRPr="00A84505">
          <w:rPr>
            <w:rStyle w:val="Hyperlink"/>
            <w:rFonts w:ascii="Times New Roman" w:hAnsi="Times New Roman"/>
          </w:rPr>
          <w:t>2.1.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Általános megjegyzések</w:t>
        </w:r>
        <w:r>
          <w:rPr>
            <w:webHidden/>
          </w:rPr>
          <w:tab/>
        </w:r>
        <w:r>
          <w:rPr>
            <w:webHidden/>
          </w:rPr>
          <w:fldChar w:fldCharType="begin"/>
        </w:r>
        <w:r>
          <w:rPr>
            <w:webHidden/>
          </w:rPr>
          <w:instrText xml:space="preserve"> PAGEREF _Toc210833241 \h </w:instrText>
        </w:r>
        <w:r>
          <w:rPr>
            <w:webHidden/>
          </w:rPr>
        </w:r>
        <w:r>
          <w:rPr>
            <w:webHidden/>
          </w:rPr>
          <w:fldChar w:fldCharType="separate"/>
        </w:r>
        <w:r>
          <w:rPr>
            <w:webHidden/>
          </w:rPr>
          <w:t>3</w:t>
        </w:r>
        <w:r>
          <w:rPr>
            <w:webHidden/>
          </w:rPr>
          <w:fldChar w:fldCharType="end"/>
        </w:r>
      </w:hyperlink>
    </w:p>
    <w:p w14:paraId="077E9FFE" w14:textId="24BE7E6F"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2" w:history="1">
        <w:r w:rsidRPr="00A84505">
          <w:rPr>
            <w:rStyle w:val="Hyperlink"/>
            <w:rFonts w:ascii="Times New Roman" w:hAnsi="Times New Roman"/>
          </w:rPr>
          <w:t>2.2.</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_Toc210833242 \h </w:instrText>
        </w:r>
        <w:r>
          <w:rPr>
            <w:webHidden/>
          </w:rPr>
        </w:r>
        <w:r>
          <w:rPr>
            <w:webHidden/>
          </w:rPr>
          <w:fldChar w:fldCharType="separate"/>
        </w:r>
        <w:r>
          <w:rPr>
            <w:webHidden/>
          </w:rPr>
          <w:t>4</w:t>
        </w:r>
        <w:r>
          <w:rPr>
            <w:webHidden/>
          </w:rPr>
          <w:fldChar w:fldCharType="end"/>
        </w:r>
      </w:hyperlink>
    </w:p>
    <w:p w14:paraId="1FCC8028" w14:textId="1F58E983"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3" w:history="1">
        <w:r w:rsidRPr="00A84505">
          <w:rPr>
            <w:rStyle w:val="Hyperlink"/>
            <w:rFonts w:ascii="Times New Roman" w:hAnsi="Times New Roman"/>
          </w:rPr>
          <w:t>3.</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C 19.00 – PIACI KOCKÁZAT: AZ ÉRTÉKPAPÍROSÍTÁSOK EGYEDI KOCKÁZATÁNAK SZTENDERD MÓDSZERE (MKR SA SEC)</w:t>
        </w:r>
        <w:r>
          <w:rPr>
            <w:webHidden/>
          </w:rPr>
          <w:tab/>
        </w:r>
        <w:r>
          <w:rPr>
            <w:webHidden/>
          </w:rPr>
          <w:fldChar w:fldCharType="begin"/>
        </w:r>
        <w:r>
          <w:rPr>
            <w:webHidden/>
          </w:rPr>
          <w:instrText xml:space="preserve"> PAGEREF _Toc210833243 \h </w:instrText>
        </w:r>
        <w:r>
          <w:rPr>
            <w:webHidden/>
          </w:rPr>
        </w:r>
        <w:r>
          <w:rPr>
            <w:webHidden/>
          </w:rPr>
          <w:fldChar w:fldCharType="separate"/>
        </w:r>
        <w:r>
          <w:rPr>
            <w:webHidden/>
          </w:rPr>
          <w:t>6</w:t>
        </w:r>
        <w:r>
          <w:rPr>
            <w:webHidden/>
          </w:rPr>
          <w:fldChar w:fldCharType="end"/>
        </w:r>
      </w:hyperlink>
    </w:p>
    <w:p w14:paraId="035D50CE" w14:textId="402B7A89"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4" w:history="1">
        <w:r w:rsidRPr="00A84505">
          <w:rPr>
            <w:rStyle w:val="Hyperlink"/>
            <w:rFonts w:ascii="Times New Roman" w:hAnsi="Times New Roman"/>
          </w:rPr>
          <w:t>3.1.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Általános megjegyzések</w:t>
        </w:r>
        <w:r>
          <w:rPr>
            <w:webHidden/>
          </w:rPr>
          <w:tab/>
        </w:r>
        <w:r>
          <w:rPr>
            <w:webHidden/>
          </w:rPr>
          <w:fldChar w:fldCharType="begin"/>
        </w:r>
        <w:r>
          <w:rPr>
            <w:webHidden/>
          </w:rPr>
          <w:instrText xml:space="preserve"> PAGEREF _Toc210833244 \h </w:instrText>
        </w:r>
        <w:r>
          <w:rPr>
            <w:webHidden/>
          </w:rPr>
        </w:r>
        <w:r>
          <w:rPr>
            <w:webHidden/>
          </w:rPr>
          <w:fldChar w:fldCharType="separate"/>
        </w:r>
        <w:r>
          <w:rPr>
            <w:webHidden/>
          </w:rPr>
          <w:t>6</w:t>
        </w:r>
        <w:r>
          <w:rPr>
            <w:webHidden/>
          </w:rPr>
          <w:fldChar w:fldCharType="end"/>
        </w:r>
      </w:hyperlink>
    </w:p>
    <w:p w14:paraId="2DF1B33F" w14:textId="5084CFDD"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5" w:history="1">
        <w:r w:rsidRPr="00A84505">
          <w:rPr>
            <w:rStyle w:val="Hyperlink"/>
            <w:rFonts w:ascii="Times New Roman" w:hAnsi="Times New Roman"/>
          </w:rPr>
          <w:t>3.2.</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_Toc210833245 \h </w:instrText>
        </w:r>
        <w:r>
          <w:rPr>
            <w:webHidden/>
          </w:rPr>
        </w:r>
        <w:r>
          <w:rPr>
            <w:webHidden/>
          </w:rPr>
          <w:fldChar w:fldCharType="separate"/>
        </w:r>
        <w:r>
          <w:rPr>
            <w:webHidden/>
          </w:rPr>
          <w:t>7</w:t>
        </w:r>
        <w:r>
          <w:rPr>
            <w:webHidden/>
          </w:rPr>
          <w:fldChar w:fldCharType="end"/>
        </w:r>
      </w:hyperlink>
    </w:p>
    <w:p w14:paraId="2C764B82" w14:textId="1E769B8B"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6" w:history="1">
        <w:r w:rsidRPr="00A84505">
          <w:rPr>
            <w:rStyle w:val="Hyperlink"/>
            <w:rFonts w:ascii="Times New Roman" w:hAnsi="Times New Roman"/>
          </w:rPr>
          <w:t>4.</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C 20.00 – PIACI KOCKÁZAT: A KORRELÁCIÓKERESKEDÉSI PORTFÓLIÓBA SOROLT POZÍCIÓK EGYEDI KOCKÁZATÁNAK SZTENDERD MÓDSZERE (MKR SA CTP)</w:t>
        </w:r>
        <w:r>
          <w:rPr>
            <w:webHidden/>
          </w:rPr>
          <w:tab/>
        </w:r>
        <w:r>
          <w:rPr>
            <w:webHidden/>
          </w:rPr>
          <w:fldChar w:fldCharType="begin"/>
        </w:r>
        <w:r>
          <w:rPr>
            <w:webHidden/>
          </w:rPr>
          <w:instrText xml:space="preserve"> PAGEREF _Toc210833246 \h </w:instrText>
        </w:r>
        <w:r>
          <w:rPr>
            <w:webHidden/>
          </w:rPr>
        </w:r>
        <w:r>
          <w:rPr>
            <w:webHidden/>
          </w:rPr>
          <w:fldChar w:fldCharType="separate"/>
        </w:r>
        <w:r>
          <w:rPr>
            <w:webHidden/>
          </w:rPr>
          <w:t>9</w:t>
        </w:r>
        <w:r>
          <w:rPr>
            <w:webHidden/>
          </w:rPr>
          <w:fldChar w:fldCharType="end"/>
        </w:r>
      </w:hyperlink>
    </w:p>
    <w:p w14:paraId="513B88FA" w14:textId="69465B00"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7" w:history="1">
        <w:r w:rsidRPr="00A84505">
          <w:rPr>
            <w:rStyle w:val="Hyperlink"/>
            <w:rFonts w:ascii="Times New Roman" w:hAnsi="Times New Roman"/>
          </w:rPr>
          <w:t>4.1.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Általános megjegyzések</w:t>
        </w:r>
        <w:r>
          <w:rPr>
            <w:webHidden/>
          </w:rPr>
          <w:tab/>
        </w:r>
        <w:r>
          <w:rPr>
            <w:webHidden/>
          </w:rPr>
          <w:fldChar w:fldCharType="begin"/>
        </w:r>
        <w:r>
          <w:rPr>
            <w:webHidden/>
          </w:rPr>
          <w:instrText xml:space="preserve"> PAGEREF _Toc210833247 \h </w:instrText>
        </w:r>
        <w:r>
          <w:rPr>
            <w:webHidden/>
          </w:rPr>
        </w:r>
        <w:r>
          <w:rPr>
            <w:webHidden/>
          </w:rPr>
          <w:fldChar w:fldCharType="separate"/>
        </w:r>
        <w:r>
          <w:rPr>
            <w:webHidden/>
          </w:rPr>
          <w:t>9</w:t>
        </w:r>
        <w:r>
          <w:rPr>
            <w:webHidden/>
          </w:rPr>
          <w:fldChar w:fldCharType="end"/>
        </w:r>
      </w:hyperlink>
    </w:p>
    <w:p w14:paraId="7402B4FC" w14:textId="623A91AF"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8" w:history="1">
        <w:r w:rsidRPr="00A84505">
          <w:rPr>
            <w:rStyle w:val="Hyperlink"/>
            <w:rFonts w:ascii="Times New Roman" w:hAnsi="Times New Roman"/>
          </w:rPr>
          <w:t>4.2.</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_Toc210833248 \h </w:instrText>
        </w:r>
        <w:r>
          <w:rPr>
            <w:webHidden/>
          </w:rPr>
        </w:r>
        <w:r>
          <w:rPr>
            <w:webHidden/>
          </w:rPr>
          <w:fldChar w:fldCharType="separate"/>
        </w:r>
        <w:r>
          <w:rPr>
            <w:webHidden/>
          </w:rPr>
          <w:t>9</w:t>
        </w:r>
        <w:r>
          <w:rPr>
            <w:webHidden/>
          </w:rPr>
          <w:fldChar w:fldCharType="end"/>
        </w:r>
      </w:hyperlink>
    </w:p>
    <w:p w14:paraId="26E62368" w14:textId="51BD2222"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49" w:history="1">
        <w:r w:rsidRPr="00A84505">
          <w:rPr>
            <w:rStyle w:val="Hyperlink"/>
            <w:rFonts w:ascii="Times New Roman" w:hAnsi="Times New Roman"/>
          </w:rPr>
          <w:t>5.</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C 21.00 – Piaci kockázat: A részények pozíciókockázatának sztenderd módszere (MKR SA EQU)</w:t>
        </w:r>
        <w:r>
          <w:rPr>
            <w:webHidden/>
          </w:rPr>
          <w:tab/>
        </w:r>
        <w:r>
          <w:rPr>
            <w:webHidden/>
          </w:rPr>
          <w:fldChar w:fldCharType="begin"/>
        </w:r>
        <w:r>
          <w:rPr>
            <w:webHidden/>
          </w:rPr>
          <w:instrText xml:space="preserve"> PAGEREF _Toc210833249 \h </w:instrText>
        </w:r>
        <w:r>
          <w:rPr>
            <w:webHidden/>
          </w:rPr>
        </w:r>
        <w:r>
          <w:rPr>
            <w:webHidden/>
          </w:rPr>
          <w:fldChar w:fldCharType="separate"/>
        </w:r>
        <w:r>
          <w:rPr>
            <w:webHidden/>
          </w:rPr>
          <w:t>12</w:t>
        </w:r>
        <w:r>
          <w:rPr>
            <w:webHidden/>
          </w:rPr>
          <w:fldChar w:fldCharType="end"/>
        </w:r>
      </w:hyperlink>
    </w:p>
    <w:p w14:paraId="65E909FF" w14:textId="7E945EE6"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0" w:history="1">
        <w:r w:rsidRPr="00A84505">
          <w:rPr>
            <w:rStyle w:val="Hyperlink"/>
            <w:rFonts w:ascii="Times New Roman" w:hAnsi="Times New Roman"/>
          </w:rPr>
          <w:t>5.1.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Általános megjegyzések</w:t>
        </w:r>
        <w:r>
          <w:rPr>
            <w:webHidden/>
          </w:rPr>
          <w:tab/>
        </w:r>
        <w:r>
          <w:rPr>
            <w:webHidden/>
          </w:rPr>
          <w:fldChar w:fldCharType="begin"/>
        </w:r>
        <w:r>
          <w:rPr>
            <w:webHidden/>
          </w:rPr>
          <w:instrText xml:space="preserve"> PAGEREF _Toc210833250 \h </w:instrText>
        </w:r>
        <w:r>
          <w:rPr>
            <w:webHidden/>
          </w:rPr>
        </w:r>
        <w:r>
          <w:rPr>
            <w:webHidden/>
          </w:rPr>
          <w:fldChar w:fldCharType="separate"/>
        </w:r>
        <w:r>
          <w:rPr>
            <w:webHidden/>
          </w:rPr>
          <w:t>12</w:t>
        </w:r>
        <w:r>
          <w:rPr>
            <w:webHidden/>
          </w:rPr>
          <w:fldChar w:fldCharType="end"/>
        </w:r>
      </w:hyperlink>
    </w:p>
    <w:p w14:paraId="383164D6" w14:textId="7681F3C1"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1" w:history="1">
        <w:r w:rsidRPr="00A84505">
          <w:rPr>
            <w:rStyle w:val="Hyperlink"/>
            <w:rFonts w:ascii="Times New Roman" w:hAnsi="Times New Roman"/>
          </w:rPr>
          <w:t>5.2.</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_Toc210833251 \h </w:instrText>
        </w:r>
        <w:r>
          <w:rPr>
            <w:webHidden/>
          </w:rPr>
        </w:r>
        <w:r>
          <w:rPr>
            <w:webHidden/>
          </w:rPr>
          <w:fldChar w:fldCharType="separate"/>
        </w:r>
        <w:r>
          <w:rPr>
            <w:webHidden/>
          </w:rPr>
          <w:t>13</w:t>
        </w:r>
        <w:r>
          <w:rPr>
            <w:webHidden/>
          </w:rPr>
          <w:fldChar w:fldCharType="end"/>
        </w:r>
      </w:hyperlink>
    </w:p>
    <w:p w14:paraId="59F6407B" w14:textId="4FF90DCF"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2" w:history="1">
        <w:r w:rsidRPr="00A84505">
          <w:rPr>
            <w:rStyle w:val="Hyperlink"/>
            <w:rFonts w:ascii="Times New Roman" w:hAnsi="Times New Roman"/>
          </w:rPr>
          <w:t>6.</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C 22.00 – Piaci kockázat: a devizaárfolyam-kockázat sztenderd módszerei (MKR SA FX)</w:t>
        </w:r>
        <w:r>
          <w:rPr>
            <w:webHidden/>
          </w:rPr>
          <w:tab/>
        </w:r>
        <w:r>
          <w:rPr>
            <w:webHidden/>
          </w:rPr>
          <w:fldChar w:fldCharType="begin"/>
        </w:r>
        <w:r>
          <w:rPr>
            <w:webHidden/>
          </w:rPr>
          <w:instrText xml:space="preserve"> PAGEREF _Toc210833252 \h </w:instrText>
        </w:r>
        <w:r>
          <w:rPr>
            <w:webHidden/>
          </w:rPr>
        </w:r>
        <w:r>
          <w:rPr>
            <w:webHidden/>
          </w:rPr>
          <w:fldChar w:fldCharType="separate"/>
        </w:r>
        <w:r>
          <w:rPr>
            <w:webHidden/>
          </w:rPr>
          <w:t>15</w:t>
        </w:r>
        <w:r>
          <w:rPr>
            <w:webHidden/>
          </w:rPr>
          <w:fldChar w:fldCharType="end"/>
        </w:r>
      </w:hyperlink>
    </w:p>
    <w:p w14:paraId="5714873F" w14:textId="237C2274"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3" w:history="1">
        <w:r w:rsidRPr="00A84505">
          <w:rPr>
            <w:rStyle w:val="Hyperlink"/>
            <w:rFonts w:ascii="Times New Roman" w:hAnsi="Times New Roman"/>
          </w:rPr>
          <w:t>6.1.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Általános megjegyzések</w:t>
        </w:r>
        <w:r>
          <w:rPr>
            <w:webHidden/>
          </w:rPr>
          <w:tab/>
        </w:r>
        <w:r>
          <w:rPr>
            <w:webHidden/>
          </w:rPr>
          <w:fldChar w:fldCharType="begin"/>
        </w:r>
        <w:r>
          <w:rPr>
            <w:webHidden/>
          </w:rPr>
          <w:instrText xml:space="preserve"> PAGEREF _Toc210833253 \h </w:instrText>
        </w:r>
        <w:r>
          <w:rPr>
            <w:webHidden/>
          </w:rPr>
        </w:r>
        <w:r>
          <w:rPr>
            <w:webHidden/>
          </w:rPr>
          <w:fldChar w:fldCharType="separate"/>
        </w:r>
        <w:r>
          <w:rPr>
            <w:webHidden/>
          </w:rPr>
          <w:t>15</w:t>
        </w:r>
        <w:r>
          <w:rPr>
            <w:webHidden/>
          </w:rPr>
          <w:fldChar w:fldCharType="end"/>
        </w:r>
      </w:hyperlink>
    </w:p>
    <w:p w14:paraId="4995708D" w14:textId="13211392"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4" w:history="1">
        <w:r w:rsidRPr="00A84505">
          <w:rPr>
            <w:rStyle w:val="Hyperlink"/>
            <w:rFonts w:ascii="Times New Roman" w:hAnsi="Times New Roman"/>
          </w:rPr>
          <w:t>6.2.</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_Toc210833254 \h </w:instrText>
        </w:r>
        <w:r>
          <w:rPr>
            <w:webHidden/>
          </w:rPr>
        </w:r>
        <w:r>
          <w:rPr>
            <w:webHidden/>
          </w:rPr>
          <w:fldChar w:fldCharType="separate"/>
        </w:r>
        <w:r>
          <w:rPr>
            <w:webHidden/>
          </w:rPr>
          <w:t>15</w:t>
        </w:r>
        <w:r>
          <w:rPr>
            <w:webHidden/>
          </w:rPr>
          <w:fldChar w:fldCharType="end"/>
        </w:r>
      </w:hyperlink>
    </w:p>
    <w:p w14:paraId="050BA3F3" w14:textId="287B6A1C"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5" w:history="1">
        <w:r w:rsidRPr="00A84505">
          <w:rPr>
            <w:rStyle w:val="Hyperlink"/>
            <w:rFonts w:ascii="Times New Roman" w:hAnsi="Times New Roman"/>
          </w:rPr>
          <w:t>7.</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C 23.00 – Piaci kockázat: az árukockázat sztenderd módszerei (MKR SA COM)</w:t>
        </w:r>
        <w:r>
          <w:rPr>
            <w:webHidden/>
          </w:rPr>
          <w:tab/>
        </w:r>
        <w:r>
          <w:rPr>
            <w:webHidden/>
          </w:rPr>
          <w:fldChar w:fldCharType="begin"/>
        </w:r>
        <w:r>
          <w:rPr>
            <w:webHidden/>
          </w:rPr>
          <w:instrText xml:space="preserve"> PAGEREF _Toc210833255 \h </w:instrText>
        </w:r>
        <w:r>
          <w:rPr>
            <w:webHidden/>
          </w:rPr>
        </w:r>
        <w:r>
          <w:rPr>
            <w:webHidden/>
          </w:rPr>
          <w:fldChar w:fldCharType="separate"/>
        </w:r>
        <w:r>
          <w:rPr>
            <w:webHidden/>
          </w:rPr>
          <w:t>19</w:t>
        </w:r>
        <w:r>
          <w:rPr>
            <w:webHidden/>
          </w:rPr>
          <w:fldChar w:fldCharType="end"/>
        </w:r>
      </w:hyperlink>
    </w:p>
    <w:p w14:paraId="2A9D42C6" w14:textId="2910FF97"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6" w:history="1">
        <w:r w:rsidRPr="00A84505">
          <w:rPr>
            <w:rStyle w:val="Hyperlink"/>
            <w:rFonts w:ascii="Times New Roman" w:hAnsi="Times New Roman"/>
          </w:rPr>
          <w:t>7.1.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Általános megjegyzések</w:t>
        </w:r>
        <w:r>
          <w:rPr>
            <w:webHidden/>
          </w:rPr>
          <w:tab/>
        </w:r>
        <w:r>
          <w:rPr>
            <w:webHidden/>
          </w:rPr>
          <w:fldChar w:fldCharType="begin"/>
        </w:r>
        <w:r>
          <w:rPr>
            <w:webHidden/>
          </w:rPr>
          <w:instrText xml:space="preserve"> PAGEREF _Toc210833256 \h </w:instrText>
        </w:r>
        <w:r>
          <w:rPr>
            <w:webHidden/>
          </w:rPr>
        </w:r>
        <w:r>
          <w:rPr>
            <w:webHidden/>
          </w:rPr>
          <w:fldChar w:fldCharType="separate"/>
        </w:r>
        <w:r>
          <w:rPr>
            <w:webHidden/>
          </w:rPr>
          <w:t>19</w:t>
        </w:r>
        <w:r>
          <w:rPr>
            <w:webHidden/>
          </w:rPr>
          <w:fldChar w:fldCharType="end"/>
        </w:r>
      </w:hyperlink>
    </w:p>
    <w:p w14:paraId="6E1760D2" w14:textId="4E9AD35E"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7" w:history="1">
        <w:r w:rsidRPr="00A84505">
          <w:rPr>
            <w:rStyle w:val="Hyperlink"/>
            <w:rFonts w:ascii="Times New Roman" w:hAnsi="Times New Roman"/>
          </w:rPr>
          <w:t>7.2.</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_Toc210833257 \h </w:instrText>
        </w:r>
        <w:r>
          <w:rPr>
            <w:webHidden/>
          </w:rPr>
        </w:r>
        <w:r>
          <w:rPr>
            <w:webHidden/>
          </w:rPr>
          <w:fldChar w:fldCharType="separate"/>
        </w:r>
        <w:r>
          <w:rPr>
            <w:webHidden/>
          </w:rPr>
          <w:t>19</w:t>
        </w:r>
        <w:r>
          <w:rPr>
            <w:webHidden/>
          </w:rPr>
          <w:fldChar w:fldCharType="end"/>
        </w:r>
      </w:hyperlink>
    </w:p>
    <w:p w14:paraId="11EA4FA7" w14:textId="4F5BA037"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8" w:history="1">
        <w:r w:rsidRPr="00A84505">
          <w:rPr>
            <w:rStyle w:val="Hyperlink"/>
            <w:rFonts w:ascii="Times New Roman" w:hAnsi="Times New Roman"/>
          </w:rPr>
          <w:t>8.</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C 24.00 – Piaci kockázat: belső modell (MKR IM)</w:t>
        </w:r>
        <w:r>
          <w:rPr>
            <w:webHidden/>
          </w:rPr>
          <w:tab/>
        </w:r>
        <w:r>
          <w:rPr>
            <w:webHidden/>
          </w:rPr>
          <w:fldChar w:fldCharType="begin"/>
        </w:r>
        <w:r>
          <w:rPr>
            <w:webHidden/>
          </w:rPr>
          <w:instrText xml:space="preserve"> PAGEREF _Toc210833258 \h </w:instrText>
        </w:r>
        <w:r>
          <w:rPr>
            <w:webHidden/>
          </w:rPr>
        </w:r>
        <w:r>
          <w:rPr>
            <w:webHidden/>
          </w:rPr>
          <w:fldChar w:fldCharType="separate"/>
        </w:r>
        <w:r>
          <w:rPr>
            <w:webHidden/>
          </w:rPr>
          <w:t>20</w:t>
        </w:r>
        <w:r>
          <w:rPr>
            <w:webHidden/>
          </w:rPr>
          <w:fldChar w:fldCharType="end"/>
        </w:r>
      </w:hyperlink>
    </w:p>
    <w:p w14:paraId="64FE7AC7" w14:textId="6D50923C"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59" w:history="1">
        <w:r w:rsidRPr="00A84505">
          <w:rPr>
            <w:rStyle w:val="Hyperlink"/>
            <w:rFonts w:ascii="Times New Roman" w:hAnsi="Times New Roman"/>
          </w:rPr>
          <w:t>8.1.</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Általános megjegyzések</w:t>
        </w:r>
        <w:r>
          <w:rPr>
            <w:webHidden/>
          </w:rPr>
          <w:tab/>
        </w:r>
        <w:r>
          <w:rPr>
            <w:webHidden/>
          </w:rPr>
          <w:fldChar w:fldCharType="begin"/>
        </w:r>
        <w:r>
          <w:rPr>
            <w:webHidden/>
          </w:rPr>
          <w:instrText xml:space="preserve"> PAGEREF _Toc210833259 \h </w:instrText>
        </w:r>
        <w:r>
          <w:rPr>
            <w:webHidden/>
          </w:rPr>
        </w:r>
        <w:r>
          <w:rPr>
            <w:webHidden/>
          </w:rPr>
          <w:fldChar w:fldCharType="separate"/>
        </w:r>
        <w:r>
          <w:rPr>
            <w:webHidden/>
          </w:rPr>
          <w:t>20</w:t>
        </w:r>
        <w:r>
          <w:rPr>
            <w:webHidden/>
          </w:rPr>
          <w:fldChar w:fldCharType="end"/>
        </w:r>
      </w:hyperlink>
    </w:p>
    <w:p w14:paraId="11B91E94" w14:textId="25C46EEF" w:rsidR="00392F86" w:rsidRDefault="00392F86">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833260" w:history="1">
        <w:r w:rsidRPr="00A84505">
          <w:rPr>
            <w:rStyle w:val="Hyperlink"/>
            <w:rFonts w:ascii="Times New Roman" w:hAnsi="Times New Roman"/>
          </w:rPr>
          <w:t>8.2.</w:t>
        </w:r>
        <w:r>
          <w:rPr>
            <w:rFonts w:asciiTheme="minorHAnsi" w:eastAsiaTheme="minorEastAsia" w:hAnsiTheme="minorHAnsi" w:cstheme="minorBidi"/>
            <w:b w:val="0"/>
            <w:smallCaps w:val="0"/>
            <w:kern w:val="2"/>
            <w:sz w:val="24"/>
            <w:szCs w:val="24"/>
            <w:lang w:val="de-DE" w:eastAsia="de-DE"/>
            <w14:ligatures w14:val="standardContextual"/>
          </w:rPr>
          <w:tab/>
        </w:r>
        <w:r w:rsidRPr="00A84505">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_Toc210833260 \h </w:instrText>
        </w:r>
        <w:r>
          <w:rPr>
            <w:webHidden/>
          </w:rPr>
        </w:r>
        <w:r>
          <w:rPr>
            <w:webHidden/>
          </w:rPr>
          <w:fldChar w:fldCharType="separate"/>
        </w:r>
        <w:r>
          <w:rPr>
            <w:webHidden/>
          </w:rPr>
          <w:t>20</w:t>
        </w:r>
        <w:r>
          <w:rPr>
            <w:webHidden/>
          </w:rPr>
          <w:fldChar w:fldCharType="end"/>
        </w:r>
      </w:hyperlink>
    </w:p>
    <w:p w14:paraId="4325A1DC" w14:textId="05D6D807"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833233"/>
      <w:r>
        <w:rPr>
          <w:rFonts w:ascii="Times New Roman" w:hAnsi="Times New Roman"/>
        </w:rPr>
        <w:lastRenderedPageBreak/>
        <w:t>I. RÉSZ:</w:t>
      </w:r>
      <w:bookmarkEnd w:id="2"/>
      <w:r>
        <w:rPr>
          <w:rFonts w:ascii="Times New Roman" w:hAnsi="Times New Roman"/>
        </w:rPr>
        <w:t xml:space="preserve"> ÁLTALÁNOS ÚTMUTATÓ</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833234"/>
      <w:r>
        <w:rPr>
          <w:rFonts w:ascii="Times New Roman" w:hAnsi="Times New Roman"/>
          <w:sz w:val="24"/>
          <w:u w:val="none"/>
        </w:rPr>
        <w:t>1.</w:t>
      </w:r>
      <w:r w:rsidRPr="00B63D96">
        <w:rPr>
          <w:u w:val="none"/>
        </w:rPr>
        <w:tab/>
      </w:r>
      <w:r>
        <w:rPr>
          <w:rFonts w:ascii="Times New Roman" w:hAnsi="Times New Roman"/>
          <w:sz w:val="24"/>
          <w:u w:val="none"/>
        </w:rPr>
        <w:t>SZABÁLYOK</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833235"/>
      <w:bookmarkStart w:id="12" w:name="_Toc264038399"/>
      <w:bookmarkStart w:id="13" w:name="_Toc294018834"/>
      <w:r>
        <w:rPr>
          <w:rFonts w:ascii="Times New Roman" w:hAnsi="Times New Roman"/>
          <w:sz w:val="24"/>
          <w:u w:val="none"/>
        </w:rPr>
        <w:t>1.1.</w:t>
      </w:r>
      <w:r w:rsidRPr="00B63D96">
        <w:rPr>
          <w:u w:val="none"/>
        </w:rPr>
        <w:tab/>
      </w:r>
      <w:r>
        <w:rPr>
          <w:rFonts w:ascii="Times New Roman" w:hAnsi="Times New Roman"/>
          <w:sz w:val="24"/>
          <w:u w:val="none"/>
        </w:rPr>
        <w:t>Számozási szabályok</w:t>
      </w:r>
      <w:bookmarkEnd w:id="9"/>
      <w:bookmarkEnd w:id="10"/>
      <w:bookmarkEnd w:id="11"/>
    </w:p>
    <w:p w14:paraId="07DD29A3" w14:textId="3ADB010A" w:rsidR="002648B0" w:rsidRPr="002D60D7" w:rsidRDefault="002648B0" w:rsidP="00E172EA">
      <w:pPr>
        <w:pStyle w:val="InstructionsText2"/>
        <w:numPr>
          <w:ilvl w:val="0"/>
          <w:numId w:val="29"/>
        </w:numPr>
        <w:suppressAutoHyphens/>
      </w:pPr>
      <w:r>
        <w:t>A táblák oszlopaira, soraira és celláira való hivatkozáskor a dokumentum a 2–5. pontban meghatározott jelölési szabályokat követi. A numerikus kódokat kimerítően használják a validálási szabályok.</w:t>
      </w:r>
    </w:p>
    <w:p w14:paraId="4A930757" w14:textId="35786EEA" w:rsidR="005643EA" w:rsidRPr="002D60D7" w:rsidRDefault="002648B0" w:rsidP="00E172EA">
      <w:pPr>
        <w:pStyle w:val="InstructionsText2"/>
        <w:numPr>
          <w:ilvl w:val="0"/>
          <w:numId w:val="29"/>
        </w:numPr>
        <w:suppressAutoHyphens/>
      </w:pPr>
      <w:r>
        <w:t>Az útmutató a következő általános jelölést követi: {Tábla; Sor; Oszlop}.</w:t>
      </w:r>
    </w:p>
    <w:p w14:paraId="058D6622" w14:textId="0D8EC818" w:rsidR="002648B0" w:rsidRPr="002D60D7" w:rsidRDefault="002648B0" w:rsidP="00E172EA">
      <w:pPr>
        <w:pStyle w:val="InstructionsText2"/>
        <w:numPr>
          <w:ilvl w:val="0"/>
          <w:numId w:val="29"/>
        </w:numPr>
        <w:suppressAutoHyphens/>
      </w:pPr>
      <w:r>
        <w:t>Olyan táblán belüli validálás esetén, amelynél az adott táblából csak adatpontokat használunk, a jelölés nem hivatkozik a táblára: {Sor; Oszlop}.</w:t>
      </w:r>
    </w:p>
    <w:p w14:paraId="1C93CB72" w14:textId="27E06172" w:rsidR="005643EA" w:rsidRPr="002D60D7" w:rsidRDefault="002648B0" w:rsidP="00E172EA">
      <w:pPr>
        <w:pStyle w:val="InstructionsText2"/>
        <w:numPr>
          <w:ilvl w:val="0"/>
          <w:numId w:val="29"/>
        </w:numPr>
        <w:suppressAutoHyphens/>
      </w:pPr>
      <w:r>
        <w:t>Az olyan táblák esetében, amelyek csak egy oszlopot tartalmaznak, a jelölés csak a sorokra hivatkozik. {Tábla; Sor}.</w:t>
      </w:r>
    </w:p>
    <w:p w14:paraId="6CF08484" w14:textId="337CEEA0" w:rsidR="002648B0" w:rsidRPr="002D60D7" w:rsidRDefault="002648B0" w:rsidP="00E172EA">
      <w:pPr>
        <w:pStyle w:val="InstructionsText2"/>
        <w:numPr>
          <w:ilvl w:val="0"/>
          <w:numId w:val="29"/>
        </w:numPr>
        <w:suppressAutoHyphens/>
      </w:pPr>
      <w:r>
        <w:t>Csillag jelöli, hogy a validálás a korábban meghatározott sorra vagy oszlopra megtörtént.</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833236"/>
      <w:r>
        <w:rPr>
          <w:rFonts w:ascii="Times New Roman" w:hAnsi="Times New Roman"/>
          <w:sz w:val="24"/>
          <w:u w:val="none"/>
        </w:rPr>
        <w:t>1.2.</w:t>
      </w:r>
      <w:r w:rsidRPr="00B63D96">
        <w:rPr>
          <w:u w:val="none"/>
        </w:rPr>
        <w:tab/>
      </w:r>
      <w:r>
        <w:rPr>
          <w:rFonts w:ascii="Times New Roman" w:hAnsi="Times New Roman"/>
          <w:sz w:val="24"/>
          <w:u w:val="none"/>
        </w:rPr>
        <w:t>Előjelre vonatkozó szabályok</w:t>
      </w:r>
      <w:bookmarkEnd w:id="12"/>
      <w:bookmarkEnd w:id="13"/>
      <w:bookmarkEnd w:id="14"/>
      <w:bookmarkEnd w:id="15"/>
      <w:bookmarkEnd w:id="16"/>
    </w:p>
    <w:p w14:paraId="67BDF5E2" w14:textId="769DF459" w:rsidR="002648B0" w:rsidRDefault="002648B0" w:rsidP="00E172EA">
      <w:pPr>
        <w:pStyle w:val="InstructionsText2"/>
        <w:numPr>
          <w:ilvl w:val="0"/>
          <w:numId w:val="29"/>
        </w:numPr>
        <w:suppressAutoHyphens/>
      </w:pPr>
      <w:r>
        <w:t>A szavatolótőkét vagy a tőkekövetelményeket növelő összegeket pozitív számként kell feltüntetni. Ugyanakkor a szavatolótőke teljes összegét vagy a tőkekövetelményeket csökkentő bármely összeg előjele negatív. Ha egy tétel megnevezése előtt mínuszjel (–) található, akkor az adott tételről nem szolgáltatható pozitív adat.</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833237"/>
      <w:r>
        <w:rPr>
          <w:rFonts w:ascii="Times New Roman" w:hAnsi="Times New Roman"/>
          <w:sz w:val="24"/>
          <w:u w:val="none"/>
        </w:rPr>
        <w:t>1.3.</w:t>
      </w:r>
      <w:r w:rsidRPr="00B63D96">
        <w:rPr>
          <w:u w:val="none"/>
        </w:rPr>
        <w:tab/>
      </w:r>
      <w:r>
        <w:rPr>
          <w:rFonts w:ascii="Times New Roman" w:hAnsi="Times New Roman"/>
          <w:sz w:val="24"/>
          <w:u w:val="none"/>
        </w:rPr>
        <w:t>Hivatkozások az 575/2013/EU rendeletre</w:t>
      </w:r>
      <w:bookmarkEnd w:id="17"/>
    </w:p>
    <w:p w14:paraId="59845808" w14:textId="11AE211B" w:rsidR="00843119" w:rsidRPr="002D60D7" w:rsidRDefault="00843119" w:rsidP="00E172EA">
      <w:pPr>
        <w:pStyle w:val="InstructionsText2"/>
        <w:numPr>
          <w:ilvl w:val="0"/>
          <w:numId w:val="29"/>
        </w:numPr>
        <w:suppressAutoHyphens/>
      </w:pPr>
      <w:r>
        <w:t xml:space="preserve">Az 575/2013/EU rendelet 325–377. cikkére való hivatkozásokat az említett rendelet 2019. június 26-án hatályos változatára vonatkozó hivatkozásként kell értelmezni.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833238"/>
      <w:r>
        <w:rPr>
          <w:rFonts w:ascii="Times New Roman" w:hAnsi="Times New Roman"/>
        </w:rPr>
        <w:t>II. RÉSZ: TÁBLASPECIFIKUS ÚTMUTATÓ</w:t>
      </w:r>
      <w:bookmarkEnd w:id="18"/>
      <w:bookmarkEnd w:id="19"/>
      <w:r>
        <w:rPr>
          <w:rFonts w:ascii="Times New Roman" w:hAnsi="Times New Roman"/>
        </w:rPr>
        <w:t xml:space="preserve"> PIACI KOCKÁZATI TÁBLACSOPORT</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833239"/>
      <w:r>
        <w:rPr>
          <w:rFonts w:ascii="Times New Roman" w:hAnsi="Times New Roman"/>
          <w:sz w:val="24"/>
          <w:u w:val="none"/>
        </w:rPr>
        <w:t>1.</w:t>
      </w:r>
      <w:r w:rsidRPr="00B63D96">
        <w:rPr>
          <w:u w:val="none"/>
        </w:rPr>
        <w:tab/>
      </w:r>
      <w:bookmarkEnd w:id="21"/>
      <w:bookmarkEnd w:id="22"/>
      <w:bookmarkEnd w:id="23"/>
      <w:bookmarkEnd w:id="24"/>
      <w:bookmarkEnd w:id="25"/>
      <w:bookmarkEnd w:id="26"/>
      <w:r>
        <w:rPr>
          <w:rFonts w:ascii="Times New Roman" w:hAnsi="Times New Roman"/>
          <w:sz w:val="24"/>
        </w:rPr>
        <w:t>Általános megjegyzések</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Az itt megadott útmutató a devizaárfolyam-kockázathoz (MKR SA FX), árukockázathoz (MKR SA COM), kamatlábkockázathoz (MKR SA TDI, MKR SA SEC, MKR SA CTP) és részvénypiaci kockázathoz (MKR SA EQU) kapcsolódó szavatolótőke-követelmény sztenderd módszer szerinti kiszámításáról történő adatszolgáltatáshoz használt táblákra terjed ki. Ebben a részben útmutató található továbbá a szavatolótőke-követelmény belső modelleken alapuló módszer szerinti kiszámításáról történő adatszolgáltatáshoz használt táblára vonatkozóan (MKR IM) is. </w:t>
      </w:r>
    </w:p>
    <w:p w14:paraId="43A205D1" w14:textId="5DC446A2" w:rsidR="000B0B09" w:rsidRPr="002D60D7" w:rsidRDefault="000B0B09" w:rsidP="00E172EA">
      <w:pPr>
        <w:pStyle w:val="InstructionsText2"/>
        <w:numPr>
          <w:ilvl w:val="0"/>
          <w:numId w:val="29"/>
        </w:numPr>
        <w:suppressAutoHyphens/>
      </w:pPr>
      <w:r>
        <w:t xml:space="preserve">A kereskedett, hitelviszonyt megtestesítő értékpapírok vagy tulajdoni részesedést megtestesítő instrumentumok, illetve ezek származtatott eszközének pozíciókockázatát tőkeszükségletük kiszámítása céljából két összetevőre kell bontani. Az első az egyedi kockázatra vonatkozik – azaz az adott eszköz árváltozásának kockázatára, ami a kibocsátójával, illetve, származtatott eszköz esetében, az alapul szolgáló eszköz kibocsátójával kapcsolatos tényezőkből adódik. A második az általános kockázatot foglalja magában: az eszköz árváltozásának azt a kockázatát, amely kereskedett, hitelviszonyt megtestesítő értékpapírok vagy azok származtatott eszköze esetében a kamatszintek változásából, tőkeinstrumentum vagy annak származtatott eszköze esetében az egyes értékpapírok sajátos tulajdonságaival kapcsolatban nem lévő, általános részvénypiaci mozgásokból adódik. </w:t>
      </w:r>
      <w:bookmarkEnd w:id="28"/>
      <w:r>
        <w:t xml:space="preserve">Az egyes instrumentumok és nettósítási eljárások általános kezelését az 575/2013/EU rendelet 326–333. cikke határozza meg.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833240"/>
      <w:r>
        <w:rPr>
          <w:rFonts w:ascii="Times New Roman" w:hAnsi="Times New Roman"/>
          <w:sz w:val="24"/>
          <w:u w:val="none"/>
        </w:rPr>
        <w:t>2.</w:t>
      </w:r>
      <w:r w:rsidRPr="00B63D96">
        <w:rPr>
          <w:u w:val="none"/>
        </w:rPr>
        <w:tab/>
      </w:r>
      <w:r>
        <w:rPr>
          <w:rFonts w:ascii="Times New Roman" w:hAnsi="Times New Roman"/>
          <w:sz w:val="24"/>
        </w:rPr>
        <w:t>C 18.00 – Piaci kockázat: A kereskedett, hitelviszonyt megtestesítő értékpapírok pozíciókockázatának sztenderd módszere</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833241"/>
      <w:r>
        <w:rPr>
          <w:rFonts w:ascii="Times New Roman" w:hAnsi="Times New Roman"/>
          <w:sz w:val="24"/>
          <w:u w:val="none"/>
        </w:rPr>
        <w:t>2.1.</w:t>
      </w:r>
      <w:r w:rsidRPr="00B63D96">
        <w:rPr>
          <w:u w:val="none"/>
        </w:rPr>
        <w:tab/>
      </w:r>
      <w:r>
        <w:rPr>
          <w:rFonts w:ascii="Times New Roman" w:hAnsi="Times New Roman"/>
          <w:sz w:val="24"/>
        </w:rPr>
        <w:t>Általános megjegyzések</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Ez a tábla a kereskedett, hitelviszonyt megtestesítő értékpapírok sztenderd módszer szerinti pozíciókockázatát érintő pozíciókat és az azokhoz kapcsolódó szavatolótőke-követelményt rögzíti (az 575/2013/EU rendelet 325. cikke (2) bekezdésének a) pontja). A különböző kockázatok és az 575/2013/EU rendelet alapján alkalmazható módszerek az egyes sorokban vehetők figyelembe. Az MKR SA SEC és MKR SA CTP táblán szereplő kitettségekkel összefüggő egyedi kockázatok kizárólag az MKR SA TDI Total táblán tüntethetők fel. Az említett táblákon feltüntetett szavatolótőke-követelményt át kell vinni a 0325;0060 (értékpapírosítások), illetve 0330;0060 (CTP) cellába.</w:t>
      </w:r>
    </w:p>
    <w:p w14:paraId="7C8420A5" w14:textId="3BAA75DB" w:rsidR="000B0B09" w:rsidRPr="002D60D7" w:rsidRDefault="000B0B09" w:rsidP="00E172EA">
      <w:pPr>
        <w:pStyle w:val="InstructionsText2"/>
        <w:numPr>
          <w:ilvl w:val="0"/>
          <w:numId w:val="29"/>
        </w:numPr>
        <w:suppressAutoHyphens/>
      </w:pPr>
      <w:r>
        <w:t xml:space="preserve">A táblát külön ki kell tölteni az „Összesen” értékre vonatkozóan, valamint az alábbi előre meghatározott felsorolásban szereplő pénznemekre vonatkozóan: </w:t>
      </w:r>
      <w:bookmarkStart w:id="44" w:name="OLE_LINK1"/>
      <w:r>
        <w:t>EUR, ALL, BGN, CZK, DKK, EGP, GBP, HUF, ISK, JPY, MKD, NOK, PLN, RON, RUB, RSD, SEK, CHF, TRY, UAH, USD</w:t>
      </w:r>
      <w:bookmarkEnd w:id="44"/>
      <w:r>
        <w:t xml:space="preserve">, továbbá egy táblát minden egyéb pénznemre összevontan.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833242"/>
      <w:r>
        <w:rPr>
          <w:rFonts w:ascii="Times New Roman" w:hAnsi="Times New Roman"/>
          <w:sz w:val="24"/>
          <w:u w:val="none"/>
        </w:rPr>
        <w:t>2.2.</w:t>
      </w:r>
      <w:r w:rsidRPr="00B63D96">
        <w:rPr>
          <w:u w:val="none"/>
        </w:rPr>
        <w:tab/>
      </w:r>
      <w:r>
        <w:rPr>
          <w:rFonts w:ascii="Times New Roman" w:hAnsi="Times New Roman"/>
          <w:sz w:val="24"/>
        </w:rPr>
        <w:t>A tábla egyes részeire vonatkozó útmutató</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Az 575/2013/EU rendelet 102. cikke, valamint 105. cikkének (1) bekezdése. Bruttó, instrumentumonként nem nettósított pozíciók azon jegyzési pozíciók levonásával, amelyeket harmadik fél lejegyzett, vagy amelyekre jegyzési garanciát vállal az 575/2013/EU rendelet 345. cikke (1) bekezdése, első albekezdése második mondatának megfelelően. A hosszú és rövid pozícióknak az említett bruttó pozíciókra is alkalmazandó megkülönböztetésével kapcsolatban lásd az említett rendelet 328. cikkének (2) bekezdését.</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Az 575/2013/EU rendelet 327–329., valamint 334. cikke. A hosszú és rövid pozíciók megkülönböztetésével kapcsolatban lásd az említett rendelet 328. cikkének (2) bekezdését.</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Azok a nettó pozíciók, amelyekre az 575/2013/EU rendelet harmadik része IV. címének 2. fejezetében foglalt különböző módszerek szerint tőkekövetelmény vonatkozik.</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Az 575/2013/EU rendelet harmadik része IV. címének 2. fejezete szerinti releváns pozíciók tőkekövetelménye.</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Az 575/2013/EU rendelet 92. cikke (6) bekezdésének b) pontja. A szavatolótőke-követelmény 12,5-del való szorzásának az eredménye.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KERESKEDÉSI KÖNYVBEN NYILVÁNTARTOTT, KERESKEDETT, HITELVISZONYT MEGTESTESÍTŐ INSTRUMENTUMOK</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A kereskedett, hitelviszonyt megtestesítő értékpapírokban meglévő, kereskedési könyvben nyilvántartott pozíciókat és az azoknak megfelelő, az 575/2013/EU rendelet 92. cikke (4) bekezdése b) pontjának i. alpontja, valamint az említett rendelet harmadik része IV. címének 2. fejezete szerinti pozíciókockázathoz kapcsolódó szavatolótőke-követelményt a kockázati kategóriától, a lejárattól és az alkalmazott módszertől függően kell feltüntetni.</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ÁLTALÁNOS KOCKÁZAT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Származtatott ügyletek</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A kereskedési könyvi pozíciók kamatlábkockázatának számítása során figyelembe vett származtatott ügyletek, az 575/2013/EU rendelet 328–331. cikkének figyelembevételével, ha e cikkek alkalmazhatók.</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 eszközök és kötelezettségek</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 kereskedési könyvi pozíciók kamatlábkockázatának számítása során figyelembe vett származtatott ügyleteken kívüli instrumentumok.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LEJÁRATON ALAPULÓ MÓDSZER</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A kereskedett, hitelviszonyt megtestesítő értékpapírokban meglévő pozíciók, amelyek az 575/2013/EU rendelet 339. cikkének (1)–(8) bekezdésében említett, lejáraton alapuló módszer, valamint az annak megfelelő, az említett rendelet 339. cikkének (9) bekezdése szerint kiszámított szavatolótőke-követelmények alkalmazási körébe tartoznak. A pozíciót 1., 2. és 3. zónára, ezeket pedig az instrumentumok lejárata szerint kell felosztani.</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ÁLTALÁNOS KOCKÁZAT. AZ ÁTLAGOS HÁTRALÉVŐ FUTAMIDŐN ALAPULÓ MÓDSZER</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A kereskedett, hitelviszonyt megtestesítő értékpapírokban meglévő pozíciók, amelyek az 575/2013/EU rendelet 340. cikkének (1)–(6) bekezdésében említett, átlagos hátralévő futamidőn alapuló módszer, valamint az annak megfelelő, az említett rendelet 340. cikkének (7) bekezdése szerint kiszámított szavatolótőke-követelmények alkalmazási körébe tartoznak. A pozíciót 1., 2. és 3. zónára kell felosztani.</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A 0251-es, 0325-ös és 0330-as sorban megadott értékek összege.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A kereskedett, hitelviszonyt megtestesítő értékpapírokban meglévő pozíciók, amelyek az egyedi kockázathoz kapcsolódó tőkekövetelmény hatálya alá tartoznak, valamint a rájuk vonatkozó tőkekövetelmények az 575/2013/EU rendelet 92. cikke (3) bekezdésének b) pontja, 335. cikke, 336. cikkének (1), (2) és (3) bekezdése, valamint 337. és 338. cikke szerint. Figyelembe kell venni továbbá az említett rendelet 327. cikke (1) bekezdésének utolsó mondatát.</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nem értékpapírosítási pozíciót jelentő, hitelviszonyt megtestesítő instrumentumok szavatolótőke-követelménye</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A 260–321-es sorokban megadott értékek összege.</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A külső minősítéssel nem rendelkező, n-edik nemteljesítéskor lehívható hitelderivatívák szavatolótőke-követelményét az alaptermék-kibocsátók kockázati súlyainak összeadásával kell kiszámítani (az 575/2013/EU rendelet 332. cikke (1) bekezdésének e) pontja és 332. cikke (1) bekezdésének második albekezdése – az alapul szolgáló eszközök vizsgálata). A külső minősítéssel rendelkező, n-edik nemteljesítéskor lehívható hitelderivatívákat (az 575/2013/EU rendelet 332. cikke (1) bekezdésének harmadik albekezdése) külön kell feltüntetni a 321-es sorban.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 xml:space="preserve">Az 575/2013/EU rendelet 336. cikkének (3) bekezdése szerinti pozíciókkal kapcsolatos adatszolgáltatás: </w:t>
            </w:r>
            <w:r>
              <w:t>az említett rendelet 129. cikkének (3) bekezdése szerint speciálisan kezelendők azok a kötvények, amelyek a banki könyvben 10 %-ot elérő kockázati súlyt képviselnek (fedezett kötvények).</w:t>
            </w:r>
            <w:r>
              <w:rPr>
                <w:rFonts w:ascii="Times New Roman" w:hAnsi="Times New Roman"/>
                <w:sz w:val="24"/>
              </w:rPr>
              <w:t xml:space="preserve"> Az egyedi szavatolótőke-követelmény az 575/2013/EU rendelet 336. cikke 1. táblázatának második kategóriájában említett százalékos arány fele. Ezeket a pozíciókat a végső lejáratig hátralévő idő alapján kell a 0280–0300-as sorokban feltüntetni.</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Ha a kamatláb-pozíciók általános kockázatát hitelderivatíva fedezi, akkor az 575/2013/EU rendelet 346. és 347. cikke alkalmazandó.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Az értékpapírosított eszközök szavatolótőke-követelménye</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Az MKR SA SEC tábla 0601-es oszlopában feltüntetett teljes szavatolótőke-követelmény. Az említett teljes szavatolótőke-követelményt csak az MKR SA TDI „Összesen” sorában kell megadni.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korrelációkereskedési portfólió szavatolótőke-követelménye</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Az MKR SA CTP tábla 0450-es oszlopában feltüntetett teljes szavatolótőke-követelmény. Az említett teljes szavatolótőke-követelményt csak az MKR SA TDI „Összesen” sorában kell megadni.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OPCIÓKRA VONATKOZÓ TOVÁBBI KÖVETELMÉNYEK (NEM DELTA KOCKÁZATOK)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Az 575/2013/EU rendelet 329. cikkének (3) bekezdése.</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A nem delta kockázatokkal kapcsolatos, opciókra vonatkozó további követelményeket a kiszámításukhoz használt módszer szerinti bontásban kell feltüntetni.</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833243"/>
      <w:r>
        <w:rPr>
          <w:rFonts w:ascii="Times New Roman" w:hAnsi="Times New Roman"/>
          <w:sz w:val="24"/>
          <w:u w:val="none"/>
        </w:rPr>
        <w:t>3.</w:t>
      </w:r>
      <w:r w:rsidRPr="00B73089">
        <w:rPr>
          <w:u w:val="none"/>
        </w:rPr>
        <w:tab/>
      </w:r>
      <w:r>
        <w:rPr>
          <w:rFonts w:ascii="Times New Roman" w:hAnsi="Times New Roman"/>
          <w:sz w:val="24"/>
        </w:rPr>
        <w:t>C 19.00 – PIACI KOCKÁZAT: AZ ÉRTÉKPAPÍROSÍTÁSOK EGYEDI KOCKÁZATÁNAK SZTENDERD MÓDSZERE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833244"/>
      <w:r>
        <w:rPr>
          <w:rFonts w:ascii="Times New Roman" w:hAnsi="Times New Roman"/>
          <w:sz w:val="24"/>
          <w:u w:val="none"/>
        </w:rPr>
        <w:t>3.1.</w:t>
      </w:r>
      <w:r w:rsidRPr="00B73089">
        <w:rPr>
          <w:u w:val="none"/>
        </w:rPr>
        <w:tab/>
      </w:r>
      <w:r>
        <w:rPr>
          <w:rFonts w:ascii="Times New Roman" w:hAnsi="Times New Roman"/>
          <w:sz w:val="24"/>
        </w:rPr>
        <w:t>Általános megjegyzések</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Ezen a táblán a sztenderd módszer alkalmazási körébe tartozó pozíciókról (összes/nettó, hosszú/rövid), valamint az ezekhez kapcsolódóan a kereskedési könyvben nyilvántartott (a korrelációkereskedési portfólióban figyelembe nem vehető) értékpapírosítások és újra-értékpapírosítások pozíciókockázatán belüli egyedi kockázatra vonatkozó szavatolótőke-követelményről kell adatot szolgáltatni. </w:t>
      </w:r>
    </w:p>
    <w:p w14:paraId="2729DF95" w14:textId="1BA228E4" w:rsidR="00FC6275" w:rsidRPr="002D60D7" w:rsidRDefault="00FC6275" w:rsidP="00E172EA">
      <w:pPr>
        <w:pStyle w:val="InstructionsText2"/>
        <w:numPr>
          <w:ilvl w:val="0"/>
          <w:numId w:val="29"/>
        </w:numPr>
        <w:suppressAutoHyphens/>
      </w:pPr>
      <w:r>
        <w:t xml:space="preserve">Az MKR SA SEC tábla kizárólag az 575/2013/EU rendelet 335. cikke, valamint azzal összefüggésben az említett rendelet 337. cikke szerinti értékpapírosítási pozíciók egyedi kockázatához kapcsolódó szavatolótőke-követelményt adja meg. Ha a kereskedési könyvben nyilvántartott értékpapírosítási pozíciókat hitelderivatívákkal fedezik, akkor az 575/2013/EU rendelet 346. és 347. cikkét kell alkalmazni. Valamennyi kereskedési könyvi pozícióról egy táblán kell adatot szolgáltatni attól függetlenül, hogy a befektetési vállalkozás melyik módszert alkalmazza az 575/2013/EU rendelet harmadik része II. címének 5. fejezete szerinti egyes pozíciók kockázati súlyának meghatározásakor. Az e pozíciók általános kockázatához kapcsolódó szavatolótőke-követelményre vonatkozó adatszolgáltatás az MKR SA TDI vagy az MKR IM táblán történik. </w:t>
      </w:r>
    </w:p>
    <w:p w14:paraId="0C732A14" w14:textId="3FF74494" w:rsidR="00FC6275" w:rsidRPr="002D60D7" w:rsidRDefault="00FC6275" w:rsidP="00E172EA">
      <w:pPr>
        <w:pStyle w:val="InstructionsText2"/>
        <w:numPr>
          <w:ilvl w:val="0"/>
          <w:numId w:val="29"/>
        </w:numPr>
        <w:suppressAutoHyphens/>
      </w:pPr>
      <w:r>
        <w:t>Az 1 250 %-os kockázati súlyú pozíciók az elsődleges alapvető tőkéből (CET1) is levonhatók (lásd az 575/2013/EU rendelet 244. cikke (1) bekezdésének b) pontját, 245. cikke (1) bekezdésének b) pontját és 253. cikkét). Az említett pozíciókat ebben a táblában kell feltüntetni, még akkor is, ha az intézmény él a levonás lehetőségével.</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833245"/>
      <w:r>
        <w:rPr>
          <w:rFonts w:ascii="Times New Roman" w:hAnsi="Times New Roman"/>
          <w:sz w:val="24"/>
          <w:u w:val="none"/>
        </w:rPr>
        <w:t>3.2.</w:t>
      </w:r>
      <w:r w:rsidRPr="00B73089">
        <w:rPr>
          <w:u w:val="none"/>
        </w:rPr>
        <w:tab/>
      </w:r>
      <w:r>
        <w:rPr>
          <w:rFonts w:ascii="Times New Roman" w:hAnsi="Times New Roman"/>
          <w:sz w:val="24"/>
        </w:rPr>
        <w:t>A tábla egyes részeire vonatkozó útmutató</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Oszlop</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102. cikke, valamint 105.</w:t>
            </w:r>
            <w:r>
              <w:rPr>
                <w:rFonts w:ascii="Times New Roman" w:hAnsi="Times New Roman"/>
                <w:sz w:val="24"/>
              </w:rPr>
              <w:t xml:space="preserve"> cikkének (1) bekezdése az említett rendelet </w:t>
            </w:r>
            <w:r>
              <w:rPr>
                <w:rStyle w:val="InstructionsTabelleText"/>
                <w:rFonts w:ascii="Times New Roman" w:hAnsi="Times New Roman"/>
                <w:sz w:val="24"/>
              </w:rPr>
              <w:t>337. cikkével összefüggésben</w:t>
            </w:r>
            <w:r>
              <w:rPr>
                <w:rFonts w:ascii="Times New Roman" w:hAnsi="Times New Roman"/>
                <w:sz w:val="24"/>
              </w:rPr>
              <w:t xml:space="preserve"> </w:t>
            </w:r>
            <w:r>
              <w:rPr>
                <w:rStyle w:val="InstructionsTabelleText"/>
                <w:rFonts w:ascii="Times New Roman" w:hAnsi="Times New Roman"/>
                <w:sz w:val="24"/>
              </w:rPr>
              <w:t>(értékpapírosítási pozíciók)</w:t>
            </w:r>
            <w:r>
              <w:rPr>
                <w:rFonts w:ascii="Times New Roman" w:hAnsi="Times New Roman"/>
                <w:sz w:val="24"/>
              </w:rPr>
              <w:t>.</w:t>
            </w:r>
            <w:r>
              <w:rPr>
                <w:rStyle w:val="InstructionsTabelleText"/>
                <w:rFonts w:ascii="Times New Roman" w:hAnsi="Times New Roman"/>
                <w:sz w:val="24"/>
              </w:rPr>
              <w:t xml:space="preserve"> A hosszú és rövid pozícióknak az említett bruttó pozíciókra is alkalmazandó megkülönböztetésével kapcsolatban lásd az említett rendelet 328. cikkének (2) bekezdését.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SZAVATOLÓTŐKÉBŐL LEVONT POZÍCIÓK</w:t>
            </w:r>
            <w:r>
              <w:rPr>
                <w:rFonts w:ascii="Times New Roman" w:hAnsi="Times New Roman"/>
                <w:sz w:val="24"/>
              </w:rPr>
              <w:t xml:space="preserve"> </w:t>
            </w:r>
            <w:r>
              <w:rPr>
                <w:rFonts w:ascii="Times New Roman" w:hAnsi="Times New Roman"/>
                <w:b/>
                <w:sz w:val="24"/>
                <w:u w:val="single"/>
              </w:rPr>
              <w:t>(HOSSZÚ ÉS RÖVID)</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w:t>
            </w:r>
            <w:r>
              <w:rPr>
                <w:rFonts w:ascii="Times New Roman" w:hAnsi="Times New Roman"/>
                <w:sz w:val="24"/>
              </w:rPr>
              <w:t xml:space="preserve">Az 575/2013/EU rendelet </w:t>
            </w:r>
            <w:r>
              <w:rPr>
                <w:rStyle w:val="InstructionsTabelleText"/>
                <w:rFonts w:ascii="Times New Roman" w:hAnsi="Times New Roman"/>
                <w:sz w:val="24"/>
              </w:rPr>
              <w:t>244. cikke (1) bekezdésének b) pontja, 245. cikke (1) bekezdésének b) pontja, valamint 253. cikke</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NETTÓ POZÍCIÓK</w:t>
            </w:r>
            <w:r>
              <w:rPr>
                <w:rFonts w:ascii="Times New Roman" w:hAnsi="Times New Roman"/>
                <w:sz w:val="24"/>
              </w:rPr>
              <w:t xml:space="preserve"> </w:t>
            </w:r>
            <w:r>
              <w:rPr>
                <w:rFonts w:ascii="Times New Roman" w:hAnsi="Times New Roman"/>
                <w:b/>
                <w:sz w:val="24"/>
                <w:u w:val="single"/>
              </w:rPr>
              <w:t>(HOSSZÚ ÉS RÖVID)</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327., 328., 329 és 334.</w:t>
            </w:r>
            <w:r>
              <w:rPr>
                <w:rFonts w:ascii="Times New Roman" w:hAnsi="Times New Roman"/>
                <w:sz w:val="24"/>
              </w:rPr>
              <w:t xml:space="preserve"> cikke</w:t>
            </w:r>
            <w:r>
              <w:rPr>
                <w:rStyle w:val="InstructionsTabelleText"/>
                <w:rFonts w:ascii="Times New Roman" w:hAnsi="Times New Roman"/>
                <w:sz w:val="24"/>
              </w:rPr>
              <w:t>. A hosszú és rövid pozíciók megkülönböztetésével kapcsolatban lásd</w:t>
            </w:r>
            <w:r>
              <w:rPr>
                <w:rFonts w:ascii="Times New Roman" w:hAnsi="Times New Roman"/>
                <w:sz w:val="24"/>
              </w:rPr>
              <w:t xml:space="preserve"> az említett rendelet 328. cikkének (2) bekezdését</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KOCKÁZATI SÚLY SZERINTI BONTÁSA</w:t>
            </w:r>
          </w:p>
          <w:p w14:paraId="3ECFC065" w14:textId="41D71775" w:rsidR="00C3548F" w:rsidRPr="002D60D7" w:rsidRDefault="00C55547" w:rsidP="004C445F">
            <w:pPr>
              <w:suppressAutoHyphens/>
              <w:rPr>
                <w:rStyle w:val="InstructionsTabelleTex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 xml:space="preserve">259–262. cikke, 263. cikkének 1. és 2. táblázata, 264. cikkének 3. és 4. táblázata, valamint 266. cikke.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 hosszú és rövid pozíciókat külön kell csoportosítani.</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MÓDSZEREK SZERINTI BONTÁSA</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254.</w:t>
            </w:r>
            <w:r>
              <w:rPr>
                <w:rFonts w:ascii="Times New Roman" w:hAnsi="Times New Roman"/>
                <w:sz w:val="24"/>
              </w:rPr>
              <w:t xml:space="preserve"> cikke</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259. és 260. cikke</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261. és 262. cikke</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263. és 264.</w:t>
            </w:r>
            <w:r>
              <w:rPr>
                <w:rFonts w:ascii="Times New Roman" w:hAnsi="Times New Roman"/>
                <w:sz w:val="24"/>
              </w:rPr>
              <w:t xml:space="preserve"> cikke</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BELSŐ ÉRTÉKELÉSI MÓDSZER</w:t>
            </w:r>
          </w:p>
          <w:p w14:paraId="5354C48C" w14:textId="38E5A78D" w:rsidR="00C55547" w:rsidRPr="002D60D7" w:rsidRDefault="00C55547" w:rsidP="004C445F">
            <w:pPr>
              <w:suppressAutoHyphens/>
              <w:rPr>
                <w:rFonts w:ascii="Times New Roman" w:hAnsi="Times New Roman"/>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254. és 265. cikke, valamint 266. cikkének (5) bekezdése.</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A FIGYELEMBE VEHETŐ NEMTELJESÍTŐ KITETTSÉGEK ÉRTÉKPAPÍROSÍTÁSAI ELŐRESOROLT ÜGYLETRÉSZSOROZATAINAK EGYEDI KEZELÉSE</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Az 575/2013/EU rendelet 269a. cikkének (3) bekezdése</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 (KOCKÁZATI SÚLY = 1 250</w:t>
            </w:r>
            <w:r>
              <w:t> </w:t>
            </w:r>
            <w:r>
              <w:rPr>
                <w:rFonts w:ascii="Times New Roman" w:hAnsi="Times New Roman"/>
                <w:b/>
                <w:sz w:val="24"/>
                <w:u w:val="single"/>
              </w:rPr>
              <w:t>%</w:t>
            </w:r>
            <w:r>
              <w:t>)</w:t>
            </w:r>
          </w:p>
          <w:p w14:paraId="1684F52F" w14:textId="43F3FE5E"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254. cikkének (7) bekezdése</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AZ (EU) 2017/2402 RENDELET 2. FEJEZETÉNEK MEGSÉRTÉSE MIATTI ÁLTALÁNOS HATÁS (KORREKCIÓ)</w:t>
            </w:r>
          </w:p>
          <w:p w14:paraId="3FBEAE4C" w14:textId="027236BE"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270a. cikke</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FELSŐ KORLÁT FIGYELEMBEVÉTELE ELŐTT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Az 575/2013/EU rendelet 337. cikke, figyelmen kívül hagyva az említett rendelet 335. cikkében meghatározott jogosultságot, amely alapján egy intézmény a nemteljesítési kockázathoz kapcsolódó veszteség lehetséges maximális összegében korlátozhatja a súly és a nettó pozíció szorzatát.</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FELSŐ KORLÁT FIGYELEMBEVÉTELE UTÁN / TELJES SZAVATOLÓTŐKE-KÖVETELMÉNY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Az 575/2013/EU rendelet 337. cikke, figyelembe </w:t>
            </w:r>
            <w:r>
              <w:rPr>
                <w:rStyle w:val="InstructionsTabelleText"/>
                <w:rFonts w:ascii="Times New Roman" w:hAnsi="Times New Roman"/>
                <w:sz w:val="24"/>
              </w:rPr>
              <w:t>véve</w:t>
            </w:r>
            <w:r>
              <w:rPr>
                <w:rFonts w:ascii="Times New Roman" w:hAnsi="Times New Roman"/>
                <w:sz w:val="24"/>
              </w:rPr>
              <w:t xml:space="preserve"> az említett rendelet 335. cikkében meghatározott jogosultságot.</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Sor</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TELJES KITETTSÉG</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A kereskedési könyvben nyilvántartott, fennálló értékpapírosítások és újra-értékpapírosítások összértéke az értékpapírosítást kezdeményező vagy befektető vagy szponzor szerepét betöltő intézmény adatszolgáltatása szerint.</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és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ÉRTÉKPAPÍROSÍTÁSI POZÍCIÓK</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Az 575/2013/EU rendelet 4. cikke (1) bekezdésének 62. pontja</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és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ÚJRA-ÉRTÉKPAPÍROSÍTÁSI POZÍCIÓK</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Az 575/2013/EU rendelet 4. cikke (1) bekezdésének 64. pontja</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és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EBBŐL: DIFFERENCIÁLT TŐKEKÖVETELMÉNY-MEGÁLLAPÍTÁSRA JOGOSULT</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Azon értékpapírosítási pozíciók teljes összege, amelyek megfelelnek az 575/2013/EU rendelet 243. vagy 270. cikkében meghatározott kritériumoknak, és ezért differenciált tőkekövetelmény-megállapításra jogosultak.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Az 575/2013/EU rendelet 4. cikke (1) bekezdésének 13. pontja</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BEFEKTETŐ</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Olyan hitelintézet, amely értékpapírosítási pozícióval rendelkezik egy olyan értékpapírosítási ügyletben, amelyben sem az értékpapírosítást kezdeményező, sem a szponzor, sem az eredeti hitelező szerepét nem tölti be.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SZPONZOR</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Az 575/2013/EU rendelet 4. cikke (1) bekezdésének 14. pontja</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Annak a szponzornak, aki saját eszközt is értékpapírosít, a saját értékpapírosított eszközökkel kapcsolatos információkat az értékpapírosítást kezdeményezőre vonatkozó sorokban kell megadnia.</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833246"/>
      <w:r>
        <w:rPr>
          <w:rFonts w:ascii="Times New Roman" w:hAnsi="Times New Roman"/>
          <w:sz w:val="24"/>
          <w:u w:val="none"/>
        </w:rPr>
        <w:t>4.</w:t>
      </w:r>
      <w:r w:rsidRPr="00B73089">
        <w:rPr>
          <w:u w:val="none"/>
        </w:rPr>
        <w:tab/>
      </w:r>
      <w:r>
        <w:rPr>
          <w:rFonts w:ascii="Times New Roman" w:hAnsi="Times New Roman"/>
          <w:sz w:val="24"/>
        </w:rPr>
        <w:t>C 20.00 – PIACI KOCKÁZAT: A KORRELÁCIÓKERESKEDÉSI PORTFÓLIÓBA SOROLT POZÍCIÓK EGYEDI KOCKÁZATÁNAK SZTENDERD MÓDSZERE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833247"/>
      <w:r>
        <w:rPr>
          <w:rFonts w:ascii="Times New Roman" w:hAnsi="Times New Roman"/>
          <w:sz w:val="24"/>
          <w:u w:val="none"/>
        </w:rPr>
        <w:t>4.1.</w:t>
      </w:r>
      <w:r w:rsidRPr="00B73089">
        <w:rPr>
          <w:u w:val="none"/>
        </w:rPr>
        <w:tab/>
      </w:r>
      <w:r>
        <w:rPr>
          <w:rFonts w:ascii="Times New Roman" w:hAnsi="Times New Roman"/>
          <w:sz w:val="24"/>
        </w:rPr>
        <w:t>Általános megjegyzések</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Ezen a táblán a sztenderd módszer alkalmazási körébe tartozó korrelációkereskedési portfólióban (CTP) levő pozíciókról (értékpapírosításokról, n-edik nemteljesítéskor lehívható hitelderivatívákról és az 575/2013/EU rendelet 338. cikkének (3) bekezdése alapján besorolt egyéb CTP-pozíciókról), valamint az ezekhez kapcsolódó szavatolótőke-követelményről kell adatot szolgáltatni.</w:t>
      </w:r>
    </w:p>
    <w:p w14:paraId="7D9D9B10" w14:textId="1F1EFDEB" w:rsidR="00C55547" w:rsidRPr="002D60D7" w:rsidRDefault="00C55547" w:rsidP="00E172EA">
      <w:pPr>
        <w:pStyle w:val="InstructionsText2"/>
        <w:numPr>
          <w:ilvl w:val="0"/>
          <w:numId w:val="29"/>
        </w:numPr>
        <w:suppressAutoHyphens/>
      </w:pPr>
      <w:r>
        <w:t>Az MKR SA CTP tábla kizárólag az 575/2013/EU rendelet 335. cikke, valamint azzal összefüggésben az említett rendelet 338. cikkének (2) és (3) bekezdése szerint a CTP-be sorolt pozíciók egyedi kockázatához kapcsolódó szavatolótőke-követelményt mutatja be. Ha a kereskedési könyvben nyilvántartott CTP-pozíciókat hitelderivatívákkal fedezik, akkor az 575/2013/EU rendelet 346. és 347. cikkét kell alkalmazni. Valamennyi kereskedési könyvi CTP-pozícióról egy táblán kell adatot szolgáltatni attól függetlenül, hogy a befektetési vállalkozás melyik módszert alkalmazza az 575/2013/EU rendelet harmadik része II. címének 5. fejezete szerinti egyes pozíciók kockázati súlyának meghatározásakor. Az említett pozíciók általános kockázatához kapcsolódó szavatolótőke-követelményre vonatkozó adatszolgáltatás az MKR SA TDI vagy az MKR IM táblán történik.</w:t>
      </w:r>
    </w:p>
    <w:p w14:paraId="2252BE4F" w14:textId="4513CABA" w:rsidR="00C55547" w:rsidRPr="002D60D7" w:rsidRDefault="00C55547" w:rsidP="00E172EA">
      <w:pPr>
        <w:pStyle w:val="InstructionsText2"/>
        <w:numPr>
          <w:ilvl w:val="0"/>
          <w:numId w:val="29"/>
        </w:numPr>
        <w:suppressAutoHyphens/>
      </w:pPr>
      <w:r>
        <w:t xml:space="preserve">Ez a tábla elkülöníti az értékpapírosítási pozíciókat, az n-edik nemteljesítéskor lehívható hitelderivatívákat, valamint az egyéb CTP-pozíciókat. Az értékpapírosítási pozíciókat minden esetben a 0030-as, 0060-as vagy 0090-es sorban kell feltüntetni az intézmény által az értékpapírosításban betöltött szereptől függően. Az n-edik nemteljesítéskor lehívható hitelderivatívákat minden esetben a 0110-es sorban kell feltüntetni. Az „egyéb CTP-pozíciók” nem értékpapírosítási pozíciók és nem az n-edik nemteljesítéskor lehívható hitelderivatívák (lásd az 575/2013/EU rendelet 338. cikkének (3) bekezdését), de a fedezési szándék miatt egyértelműen kapcsolódnak e két pozíció egyikéhez. </w:t>
      </w:r>
    </w:p>
    <w:p w14:paraId="5E92EBD9" w14:textId="77777777" w:rsidR="00B73089" w:rsidRDefault="00C55547" w:rsidP="00E172EA">
      <w:pPr>
        <w:pStyle w:val="InstructionsText2"/>
        <w:numPr>
          <w:ilvl w:val="0"/>
          <w:numId w:val="29"/>
        </w:numPr>
        <w:suppressAutoHyphens/>
      </w:pPr>
      <w:r>
        <w:t>Az 1 250 %-os kockázati súlyú pozíciók az elsődleges alapvető tőkéből (CET1) is levonhatók (lásd az 575/2013/EU rendelet 244. cikke (1) bekezdésének b) pontját, 245. cikke (1) bekezdésének b) pontját és 253. cikkét). Az említett pozíciókat ebben a táblában kell feltüntetni, még akkor is, ha az intézmény él a levonás lehetőségével.</w:t>
      </w:r>
    </w:p>
    <w:p w14:paraId="46E1E4F7" w14:textId="77777777" w:rsidR="00B73089" w:rsidRDefault="00B73089">
      <w:pPr>
        <w:spacing w:before="0" w:after="0"/>
        <w:jc w:val="left"/>
        <w:rPr>
          <w:rFonts w:ascii="Times New Roman" w:hAnsi="Times New Roman"/>
          <w:sz w:val="24"/>
          <w:lang w:eastAsia="de-DE"/>
        </w:rPr>
      </w:pPr>
      <w:r>
        <w:br w:type="page"/>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833248"/>
      <w:r>
        <w:rPr>
          <w:rFonts w:ascii="Times New Roman" w:hAnsi="Times New Roman"/>
          <w:sz w:val="24"/>
          <w:u w:val="none"/>
        </w:rPr>
        <w:t>4.2.</w:t>
      </w:r>
      <w:r w:rsidRPr="00B73089">
        <w:rPr>
          <w:u w:val="none"/>
        </w:rPr>
        <w:tab/>
      </w:r>
      <w:r>
        <w:rPr>
          <w:rFonts w:ascii="Times New Roman" w:hAnsi="Times New Roman"/>
          <w:sz w:val="24"/>
        </w:rPr>
        <w:t>A tábla egyes részeire vonatkozó útmutató</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Oszlop</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ÖSSZES POZÍCIÓ (HOSSZÚ ÉS RÖVID)</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Az 575/2013/EU rendelet 102. cikke, valamint 105. cikkének (1) bekezdése az említett rendelet 338. cikke (2) és (3) bekezdésével összefüggésben (a korrelációkereskedési portfólióba sorolt pozíciókkal)</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A hosszú és rövid pozícióknak az említett bruttó pozíciókra is alkalmazandó megkülönböztetésével kapcsolatban lásd az 575/2013/EU rendelet 328. cikkének (2) bekezdését.</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SZAVATOLÓTŐKÉBŐL LEVONT POZÍCIÓK (HOSSZÚ ÉS RÖVID)</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Az 575/2013/EU rendelet 253. cikke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NETTÓ POZÍCIÓK (HOSSZÚ ÉS RÖVID)</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Az 575/2013/EU rendelet 327., 328., 329 és 334. cikke.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A hosszú és rövid pozíciók megkülönböztetésével kapcsolatban lásd az említett rendelet 328. cikkének (2) bekezdését.</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 NETTÓ POZÍCIÓK KOCKÁZATI SÚLY SZERINTI BONTÁSA</w:t>
            </w:r>
          </w:p>
          <w:p w14:paraId="691F4414" w14:textId="75A08501" w:rsidR="00C55547" w:rsidRPr="002D60D7" w:rsidRDefault="00133396" w:rsidP="004C445F">
            <w:pPr>
              <w:suppressAutoHyphens/>
              <w:rPr>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259–262. cikke, 263. cikkének 1. és 2. táblázata, 264. cikkének 3. és 4. táblázata, valamint 266. cikke</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MÓDSZEREK SZERINTI BONTÁSA</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 xml:space="preserve">254. cikke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259. és 260. cikke</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261. és 262. cikke</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263. és 264. cikke</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BELSŐ ÉRTÉKELÉSI MÓDSZER</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254. és 265. cikke, valamint 266. cikkének (5) bekezdése</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A FIGYELEMBE VEHETŐ NEMTELJESÍTŐ KITETTSÉGEK ÉRTÉKPAPÍROSÍTÁSAI ELŐRESOROLT ÜGYLETRÉSZSOROZATAINAK EGYEDI KEZELÉSE</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269a.</w:t>
            </w:r>
            <w:r>
              <w:rPr>
                <w:rFonts w:ascii="Times New Roman" w:hAnsi="Times New Roman"/>
                <w:sz w:val="24"/>
              </w:rPr>
              <w:t xml:space="preserve"> cikkének (3) bekezdése</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 (KOCKÁZATI SÚLY = 1 250</w:t>
            </w:r>
            <w:r>
              <w:t> </w:t>
            </w:r>
            <w:r>
              <w:rPr>
                <w:rFonts w:ascii="Times New Roman" w:hAnsi="Times New Roman"/>
                <w:b/>
                <w:sz w:val="24"/>
                <w:u w:val="single"/>
              </w:rPr>
              <w:t>%</w:t>
            </w:r>
            <w:r>
              <w:t>)</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254. cikkének (7) bekezdése</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FELSŐ KORLÁT FIGYELEMBEVÉTELE ELŐTT – SÚLYOZOTT NETTÓ HOSSZÚ ÉS RÖVID POZÍCIÓK</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Az 575/2013/EU rendelet 338. cikke, figyelmen kívül hagyva az említett rendelet 335. cikkében meghatározott jogosultságot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FELSŐ KORLÁT FIGYELEMBEVÉTELE UTÁN – SÚLYOZOTT NETTÓ HOSSZÚ ÉS RÖVID POZÍCIÓK</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Az 575/2013/EU rendelet 338. cikke, figyelembe véve az említett rendelet 335. cikkében meghatározott jogosultságot.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TELJES SZAVATOLÓTŐKE-KÖVETELMÉNY</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A szavatolótőke-követelmény a következők közül a nagyobb érték:</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kizárólag a nettó hosszú pozíciók egyedi kockázatához kapcsolódó szavatolótőke-követelmény (0430-as oszlop);</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kizárólag a nettó rövid pozíciók egyedi kockázatához kapcsolódó szavatolótőke-követelmény (0440-es oszlop).</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Sor</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TELJES KITETTSÉG</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A korrelációkereskedési portfólióban nyilvántartott, fennálló pozíciók összértéke az értékpapírosítást kezdeményező, befektető vagy szponzor szerepét betöltő intézmény adatszolgáltatása szerint.</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Az 575/2013/EU rendelet 4. cikke (1) bekezdésének 13. pontja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BEFEKTETŐ</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Olyan hitelintézet, amely értékpapírosítási pozícióval rendelkezik egy olyan értékpapírosítási ügyletben, amelyben sem az értékpapírosítást kezdeményező, sem a szponzor, sem az eredeti hitelező szerepét nem tölti be.</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SZPONZOR</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Az 575/2013/EU rendelet 4. cikke (1) bekezdésének 14. pontja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Annak a szponzornak, aki saját eszközt is értékpapírosít, a saját értékpapírosított eszközökkel kapcsolatos információkat az értékpapírosítást kezdeményezőre vonatkozó sorokban kell megadnia.</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és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ÉRTÉKPAPÍROSÍTÁSI POZÍCIÓK</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A korrelációkereskedési portfólió értékpapírosításokat, n-edik nemteljesítéskor lehívható hitelderivatívákat, valamint esetlegesen az 575/2013/EU rendelet 338. cikkének (2) és (3) bekezdésében előírt kritériumokat teljesítő egyéb fedezeti pozíciókat foglal magában.</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Az értékpapírosítási kitettségek arányos részesedést biztosító származtatott ügyleteit, valamint a CTP-pozíciókat fedező pozíciókat az „Egyéb CTP-pozíciók” sorban kell feltüntetni.</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N-EDIK NEMTELJESÍTÉSKOR LEHÍVHATÓ HITELDERIVATÍVÁK</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Itt az n-edik nemteljesítéskor lehívható hitelderivatívákat, valamint az azokat az 575/2013/EU rendelet 347. cikke szerint fedező n-edik nemteljesítéskor lehívható hitelderivatívákat kell megadni.</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Az értékpapírosítást kezdeményező, a befektető és szponzor pozíciói az n-edik nemteljesítéskor lehívható hitelderivatívákkal nem egyeztethetők össze. Emiatt az értékpapírosítási pozícióknál alkalmazott megbontás az n-edik nemteljesítéskor lehívható hitelderivatívák esetében nem alkalmazható.</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és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EGYÉB CTP-POZÍCIÓK</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Az alábbi pozíciók tartoznak ide: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az értékpapírosítási kitettségek arányos részesedést biztosító származtatott ügyletei, valamint a CTP-pozíciókat fedező pozíciók;</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az 575/2013/EU rendelet 346. cikke szerint hitelderivatívákkal fedezett CTP-pozíciók;</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az 575/2013/EU rendelet 338. cikkének (3) bekezdése szerinti egyéb pozíciók.</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833249"/>
      <w:r>
        <w:rPr>
          <w:rFonts w:ascii="Times New Roman" w:hAnsi="Times New Roman"/>
          <w:sz w:val="24"/>
          <w:u w:val="none"/>
        </w:rPr>
        <w:t>5.</w:t>
      </w:r>
      <w:r>
        <w:tab/>
      </w:r>
      <w:r>
        <w:rPr>
          <w:rFonts w:ascii="Times New Roman" w:hAnsi="Times New Roman"/>
          <w:sz w:val="24"/>
        </w:rPr>
        <w:t>C 21.00 – Piaci kockázat: A részények pozíciókockázatának sztenderd módszere</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833250"/>
      <w:r>
        <w:rPr>
          <w:rFonts w:ascii="Times New Roman" w:hAnsi="Times New Roman"/>
          <w:sz w:val="24"/>
          <w:u w:val="none"/>
        </w:rPr>
        <w:t>5.1.</w:t>
      </w:r>
      <w:r w:rsidRPr="00B73089">
        <w:rPr>
          <w:u w:val="none"/>
        </w:rPr>
        <w:tab/>
      </w:r>
      <w:r>
        <w:rPr>
          <w:rFonts w:ascii="Times New Roman" w:hAnsi="Times New Roman"/>
          <w:sz w:val="24"/>
        </w:rPr>
        <w:t>Általános megjegyzések</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Ezen a táblán a sztenderd módszer alkalmazási körébe tartozó pozíciókról, valamint az ezekhez kapcsolódóan a kereskedési könyvben nyilvántartott részvények pozíciókockázatára vonatkozó szavatolótőke-követelményről kell adatot szolgáltatni.</w:t>
      </w:r>
    </w:p>
    <w:p w14:paraId="3AF5EC7C" w14:textId="570FEDBA" w:rsidR="00B828CC" w:rsidRPr="002D60D7" w:rsidRDefault="000B0B09" w:rsidP="00E172EA">
      <w:pPr>
        <w:pStyle w:val="InstructionsText2"/>
        <w:numPr>
          <w:ilvl w:val="0"/>
          <w:numId w:val="29"/>
        </w:numPr>
        <w:suppressAutoHyphens/>
      </w:pPr>
      <w:r>
        <w:t>A táblát külön ki kell tölteni összesítve, valamint az alábbi előre meghatározott felsorolásban szereplő piacokra vonatkozóan: Albánia, Bulgária, Csehország, Dánia, Egyesült Államok, Egyesült Királyság, Egyiptom, Észak-Macedónia, Izland, Japán, Lengyelország, Liechtenstein, Magyarország, Norvégia, Oroszország, Románia, Svájc, Svédország, Szerbia, Törökország, Ukrajna, az euroövezet, továbbá egy tábla az összes többi piacra összesítve. Ezen adatszolgáltatási kötelezettség alkalmazásában piac alatt országot kell érteni (kivéve az euroövezethez tartozó országokat, lásd az 525/2014/EU felhatalmazáson alapuló bizottsági rendeletet</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833251"/>
      <w:r>
        <w:rPr>
          <w:rFonts w:ascii="Times New Roman" w:hAnsi="Times New Roman"/>
          <w:sz w:val="24"/>
          <w:u w:val="none"/>
        </w:rPr>
        <w:t>5.2.</w:t>
      </w:r>
      <w:r w:rsidRPr="00B73089">
        <w:rPr>
          <w:u w:val="none"/>
        </w:rPr>
        <w:tab/>
      </w:r>
      <w:r>
        <w:rPr>
          <w:rFonts w:ascii="Times New Roman" w:hAnsi="Times New Roman"/>
          <w:sz w:val="24"/>
        </w:rPr>
        <w:t>A tábla egyes részeire vonatkozó útmutató</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ÖSSZES POZÍCIÓ (HOSSZÚ ÉS RÖVID)</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Az 575/2013/EU rendelet 102. cikke, valamint 105. cikkének (1) bekezdése.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Bruttó, instrumentumonként nem nettósított pozíciók azon jegyzési pozíciók levonásával, amelyeket harmadik fél az intézménytől lejegyzett, vagy amelyekre jegyzési garanciát vállalt az említett rendelet 345. cikke (1) bekezdése első albekezdésének második mondatában említettek szerint.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Az 575/2013/EU rendelet 327., 329., 332., 341. és 345. cikke.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Azok a nettó pozíciók, amelyekre az 575/2013/EU rendelet harmadik része IV. címének 2. fejezetében foglalt különböző módszerek szerint tőkekövetelmény vonatkozik. A tőkekövetelményt az egyes nemzeti piacokra külön kell kiszámítani. Az 575/2013/EU rendelet 344. cikke (4) bekezdésének második mondatában említett tőzsdei határidős részvényindex-ügyletekben levő pozíciókat nem kell feltüntetni ebben az oszlopban.</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Az 575/2013/EU rendelet harmadik része IV. címe 2. fejezete szerint megállapított, bármely releváns pozícióra vonatkozó szavatolótőke-követelmény.</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Az 575/2013/EU rendelet 92. cikke (6) bekezdésének b) pontja.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A szavatolótőke-követelmény 12,5-del való szorzásának az eredménye.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KERESKEDÉSI KÖNYVBEN NYILVÁNTARTOTT RÉSZVÉNYEK</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Az 575/2013/EU rendelet 92. cikke (3) bekezdése b) pontjának i. alpontjában, valamint az említett rendelet harmadik része IV. címe 2. fejezetének 3. szakaszában említett pozíciókockázathoz kapcsolódó szavatolótőke-követelmény.</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ÁLTALÁNOS KOCKÁZAT</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Az általános kockázattal érintett részvényekben lévő pozíciók (az 575/2013/EU rendelet 343. cikke), valamint az azoknak megfelelő, az említett rendelet harmadik része IV. címe 2. fejezetének 3. szakasza szerinti szavatolótőke-követelmény.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Mindkét felosztás (0021/0022-es sorok és 0030/0040-es sorok) valamennyi olyan pozícióhoz kapcsolódik, amelyet általános kockázat érint.</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 0021-es és 0022-es sorban az információkat eszközönkénti bontásban kell megadni.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A szavatolótőke-követelmény számításakor kizárólag a 0030-as és 0040-es sorban csoportosított adatok vehetők figyelembe.</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Származtatott ügyletek</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 kereskedési könyvi pozíciók részvénypiaci kockázatának számítása során figyelembe vett származtatott ügyletek, az 575/2013/EU rendelet 329. és 332. cikkének figyelembevételével, ha e cikkek alkalmazhatók.</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Egyéb eszközök és kötelezettségek</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 kereskedési könyvi pozíciók részvénypiaci kockázatának számítása során figyelembe vett származtatott ügyleteken kívüli instrumentumok.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Megfelelően diverzifikált, egyedi módszer alkalmazási körébe tartozó tőzsdei határidős részvényindex-ügyletek</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Megfelelően diverzifikált, a 945/2014/EU bizottsági végrehajtási rendelet</w:t>
            </w:r>
            <w:r>
              <w:rPr>
                <w:rStyle w:val="FootnoteReference"/>
              </w:rPr>
              <w:footnoteReference w:id="3"/>
            </w:r>
            <w:r>
              <w:rPr>
                <w:rFonts w:ascii="Times New Roman" w:hAnsi="Times New Roman"/>
                <w:sz w:val="24"/>
              </w:rPr>
              <w:t xml:space="preserve"> szerint egyedi módszer alkalmazási körébe tartozó tőzsdei határidős részvényindex-ügyletek</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Ezeknél a pozícióknál csak általános kockázat áll fenn, így azok a 0050-es sorban nem tüntethetők fel.</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Megfelelően diverzifikált tőzsdei határidős részvényindex-ügyleteken kívüli részvények</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Az egyedi kockázattal érintett részvényekben lévő egyéb pozíciók, valamint az azoknak megfelelő szavatolótőke-követelmények az 575/2013/EU rendelet 343. cikkének megfelelően, ideértve az említett rendelet 344. cikke (3) bekezdésének megfelelően kezelt tőzsdei határidős részvényindex-ügyletekben lévő pozíciókat.</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Az egyedi kockázattal érintett részvényekben lévő pozíciók, valamint az azoknak megfelelő szavatolótőke-követelmények az 575/2013/EU rendelet 342. cikkének megfelelően, kivéve az említett rendelet 344. cikke (4) bekezdése második mondatának megfelelően kezelt tőzsdei határidős részvényindex-ügyletekben lévő pozíciókat.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Az 575/2013/EU rendelet 329. cikkének 2. és 3. pontja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követelményeket a számítási módszerben kell feltüntetni.</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833252"/>
      <w:r>
        <w:rPr>
          <w:rFonts w:ascii="Times New Roman" w:hAnsi="Times New Roman"/>
          <w:sz w:val="24"/>
          <w:u w:val="none"/>
        </w:rPr>
        <w:t>6.</w:t>
      </w:r>
      <w:r w:rsidRPr="00997ABE">
        <w:rPr>
          <w:u w:val="none"/>
        </w:rPr>
        <w:tab/>
      </w:r>
      <w:r>
        <w:rPr>
          <w:rFonts w:ascii="Times New Roman" w:hAnsi="Times New Roman"/>
          <w:sz w:val="24"/>
        </w:rPr>
        <w:t>C 22.00 – Piaci kockázat: a devizaárfolyam-kockázat sztenderd módszerei</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833253"/>
      <w:r>
        <w:rPr>
          <w:rFonts w:ascii="Times New Roman" w:hAnsi="Times New Roman"/>
          <w:sz w:val="24"/>
          <w:u w:val="none"/>
        </w:rPr>
        <w:t>6.1.</w:t>
      </w:r>
      <w:r w:rsidRPr="00997ABE">
        <w:rPr>
          <w:u w:val="none"/>
        </w:rPr>
        <w:tab/>
      </w:r>
      <w:r>
        <w:rPr>
          <w:rFonts w:ascii="Times New Roman" w:hAnsi="Times New Roman"/>
          <w:sz w:val="24"/>
        </w:rPr>
        <w:t>Általános megjegyzések</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Ezen a táblán az egyes devizákban lévő pozíciókról (ideértve a beszámoló pénznemét is), valamint ezekhez kapcsolódóan a devizaárfolyam-kockázatra vonatkozó, sztenderd módszer szerinti szavatolótőke-követelményről kell a befektetési vállalkozásoknak adatot szolgáltatniuk. A pozíciót az egyes pénznemekre (ideértve az EUR-t is), aranyra, valamint a kollektív befektetési formákra is ki kell számítani.</w:t>
      </w:r>
    </w:p>
    <w:p w14:paraId="39EF826C" w14:textId="60814CC7" w:rsidR="000B0B09" w:rsidRPr="002D60D7" w:rsidRDefault="00B31D8A" w:rsidP="00E172EA">
      <w:pPr>
        <w:pStyle w:val="InstructionsText2"/>
        <w:numPr>
          <w:ilvl w:val="0"/>
          <w:numId w:val="29"/>
        </w:numPr>
        <w:suppressAutoHyphens/>
      </w:pPr>
      <w:r>
        <w:t>E tábla 0100–0470-es sorát ki kell tölteni, ha a befektetési vállalkozás engedéllyel rendelkezik a 2014/65/EU európai parlamenti és tanácsi irányelv</w:t>
      </w:r>
      <w:r>
        <w:rPr>
          <w:rStyle w:val="FootnoteReference"/>
        </w:rPr>
        <w:footnoteReference w:id="4"/>
      </w:r>
      <w:r>
        <w:t xml:space="preserve"> I. mellékletének A. szakaszában meghatározott 3. vagy 6. tevékenység végzésére, még akkor is, ha a befektetési vállalkozás nem köteles szavatolótőke-követelményt számolni a devizaárfolyam-kockázatra az 575/2013/EU rendelet 351. cikke szerint. E tájékoztató adatok körében a beszámoló pénznemében lévő összes pozíciót jelenteni kell a 0100–0470-es sorban, függetlenül attól, hogy ezeket figyelembe veszik-e az 575/2013/EU rendelet 354. cikkének alkalmazásában. A tábla tájékoztató adatainak 0130–0470-es sorát külön-külön ki kell tölteni az Unió tagállamaiban használt valamennyi pénznemre, a következő pénznemekre: GBP, USD, CHF, JPY, RUB, TRY, AUD, CAD, RSD, ALL, UAH, MKD, EGP, ARS, BRL, MXN, HKD, ICK, TWD, NZD, NOK, SGD, KRW, CNY, valamint minden egyéb pénznemre.</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833254"/>
      <w:r>
        <w:rPr>
          <w:rFonts w:ascii="Times New Roman" w:hAnsi="Times New Roman"/>
          <w:sz w:val="24"/>
          <w:u w:val="none"/>
        </w:rPr>
        <w:t>6.2.</w:t>
      </w:r>
      <w:r w:rsidRPr="00997ABE">
        <w:rPr>
          <w:u w:val="none"/>
        </w:rPr>
        <w:tab/>
      </w:r>
      <w:r>
        <w:rPr>
          <w:rFonts w:ascii="Times New Roman" w:hAnsi="Times New Roman"/>
          <w:sz w:val="24"/>
        </w:rPr>
        <w:t>A tábla egyes részeire vonatkozó útmutató</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Az eszközökből, a jövőben befolyó összegekből és az 575/2013/EU rendelet 352. cikkének (1) bekezdésében említett egyéb tételekből eredő bruttó pozíciók.</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352. cikkének (2) bekezdése alapján és az illetékes hatóságok engedélyének függvényében nem tüntetendők fel azok a pozíciók, amelyeket az intézmény kifejezetten azért vállal, hogy ezzel a devizaárfolyamnak az említett rendelet 92. cikkének (1) bekezdése szerinti tőkemegfelelési mutatókra gyakorolt negatív hatását fedezze, és az olyan tételekhez kapcsolódó pozíciók sem, amelyeket a szavatolótőke-számítás során már levontak.</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Az 575/2013/EU rendelet 352. cikkének (3) bekezdése, 352. cikke (4) bekezdésének első két mondata, valamint 353. cikke.</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nettó pozíciókat pénznemenként kell kiszámítani az említett rendelet 352. cikkének (1) bekezdése szerint. Következésképpen a hosszú és a rövid pozíciókat egyszerre lehet jelenteni.</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352. cikke (4) bekezdésének harmadik mondata, valamint 353. és 354. cikke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TŐKEKÖVETELMÉNNYEL ÉRINTETT POZÍCIÓK (HOSSZÚ ÉS RÖVID)</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Az egyes pénznemekben lévő nettó hosszú és rövid pozíciókat a rövid pozíciók összegének a hosszú pozíciók összegéből való kivonásával kell kiszámítani.</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Egy pénznemben meglévő nettó hosszú pozíció az adott pénznemben végrehajtott műveletekhez tartozó nettó hosszú pozíciók összeadásával számítható ki.</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Egy pénznemben meglévő nettó rövid pozíció az adott pénznemben végrehajtott műveletekhez tartozó nettó rövid pozíciók összeadásával számítható ki.</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 beszámoló pénznemén kívüli pénznemben lévő kiegyenlítetlen pozíciókat az egyéb pénznemben lévő, tőkekövetelménnyel érintett pozíciókhoz (030-as sor) kell adni a 060-as vagy 070-es oszlopban attól függően, hogy a pozíciók rövidek vagy hosszúak.</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 (KIEGYENLÍTETT)</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Egymással nagymértékben korreláló pénznemekben lévő kiegyenlített pozíciók.</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harmadik része IV. címének 3. fejezete szerinti releváns pozíciók tőkekövetelménye.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Az 575/2013/EU rendelet 92. cikke (6) bekezdésének b) pontja.</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 szavatolótőke-követelmény 12,5-del való szorzásának az eredménye.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ÖSSZESEN</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nem a beszámoló pénznemében meglévő összes pozíció és a beszámoló pénznemében lévő azon pozíciók, amelyeket figyelembe vesznek az 575/2013/EU rendelet 354. cikke alkalmazásában, valamint az ezekhez kapcsolódó, a devizaárfolyam-kockázatra vonatkozó szavatolótőke-követelmény az említett rendelet 92. cikke (3) bekezdése c) pontjának i. alpontjában említettek szerint, figyelembe véve az 575/2013/EU rendelet 352. cikkének (2) és (4) bekezdését (a beszámoló pénznemére történő átváltás tekintetében).</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EGYMÁSSAL NAGYMÉRTÉKBEN KORRELÁLÓ PÉNZNEMEK</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354. cikkében említett, egymással nagymértékben korreláló pénznemekben lévő pozíciók, valamint az ezekhez kapcsolódó szavatolótőke-követelmény.</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Egymással nagymértékben korreláló pénznemek: </w:t>
            </w:r>
            <w:r>
              <w:rPr>
                <w:rFonts w:ascii="Times New Roman" w:hAnsi="Times New Roman"/>
                <w:b/>
                <w:i/>
                <w:sz w:val="24"/>
                <w:u w:val="single"/>
              </w:rPr>
              <w:t>ebből</w:t>
            </w:r>
            <w:r>
              <w:rPr>
                <w:rFonts w:ascii="Times New Roman" w:hAnsi="Times New Roman"/>
                <w:b/>
                <w:sz w:val="24"/>
                <w:u w:val="single"/>
              </w:rPr>
              <w:t>: a beszámoló pénzneme</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beszámoló pénznemében lévő pozíciók, amelyeket figyelembe vesznek a tőkekövetelmény 575/2013/EU rendelet 354. cikke szerinti kiszámítása során.</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MINDEN EGYÉB PÉNZNEM (ideértve a külön pénznemként kezelt kollektív befektetési formákat is)</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351. cikkében, valamint 352. cikkének (2) és (4) bekezdésében említett általános eljárás alkalmazási körébe tartozó pénznemekben lévő pozíciók, valamint az ezekhez kapcsolódó szavatolótőke-követelmény.</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Az 575/2013/EU rendelet 353. cikke szerint külön pénznemként kezelt kollektív befektetési formákkal kapcsolatos adatszolgáltatás:</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 külön pénznemként kezelt kollektív befektetési formák tőkekövetelménye kétféle módszerrel számítható ki:</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a módosított aranymódszerrel, ha a KBF-ek befektetésének az iránya nem ismert (az ilyen KBF-eket az intézmény teljes nettó devizapozíciójához kell hozzáadni);</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ha a KBF-ek befektetésének az iránya ismert, akkor a KBF-eket a teljes nyitott devizapozícióhoz kell hozzáadni (hosszú vagy rövid, az egyes KBF-ek irányától függően).</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Az érintett KBF-ekről a tőkekövetelmény számításának megfelelően kell adatot szolgáltatni.</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ARANY</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351. cikkében, valamint 352. cikkének (2) és (4) bekezdésében említett általános eljárás alkalmazási körébe tartozó pénznemekben lévő pozíciók, valamint az ezekhez kapcsolódó szavatolótőke-követelmény.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Az 575/2013/EU rendelet 352. cikkének 5. és 6. pontja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 nem delta kockázatokkal kapcsolatos, opciókra vonatkozó további követelményeket a kiszámításukhoz használt módszer szerinti bontásban kell feltüntetni.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beszámoló pénznemével együtt számított összes pozíció kitettségtípus szerinti bontása</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összes pozíciót származtatott ügyletek, egyéb eszközök és kötelezettségek, valamint mérlegen kívüli tételek szerint kell felosztani.</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Mérlegen kívüli tételnek és származtatott ügyletnek nem minősülő egyéb eszközök és kötelezettségek</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 0110-es vagy 0120-as sorban nem szerepeltetett pozíciókat itt kell megadni.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Mérlegen kívüli tételek</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352. cikkének hatályába tartozó tételek, tekintet nélkül a denomináció pénznemére, amely tételek az említett rendelet I. mellékletében szerepelnek az értékpapír-finanszírozási ügyletként vagy hosszú teljesítési idejű ügyletként beszámított, vagy eltérő termékkategóriák közötti nettósításról szóló szerződéses megállapodásból eredő tételek kivételével.</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Származtatott ügyletek</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352. cikkének megfelelően értékelt pozíciók</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TÁJÉKOZTATÓ ADATOK: DEVIZAPOZÍCIÓK</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 tábla tájékoztató adatait külön-külön meg kell adni az Unió tagállamaiban használt valamennyi pénznemre, a következő pénznemekre: GBP, USD, CHF, JPY, RUB, TRY, AUD, CAD, RSD, ALL, UAH, MKD, EGP, ARS, BRL, MXN, HKD, ICK, TWD, NZD, NOK, SGD, KRW, CNY, valamint összevontan minden egyéb pénznemre.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0470-es soron az aranyban lévő és az 575/2013/EU rendelet 353. cikkének (3) bekezdésével összhangban külön pénznemként kezelt kollektív befektetési formákban lévő pozíciókat kell feltüntetni.</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833255"/>
      <w:r>
        <w:rPr>
          <w:rFonts w:ascii="Times New Roman" w:hAnsi="Times New Roman"/>
          <w:sz w:val="24"/>
          <w:u w:val="none"/>
        </w:rPr>
        <w:t>7.</w:t>
      </w:r>
      <w:r w:rsidRPr="00997ABE">
        <w:rPr>
          <w:u w:val="none"/>
        </w:rPr>
        <w:tab/>
      </w:r>
      <w:r>
        <w:rPr>
          <w:rFonts w:ascii="Times New Roman" w:hAnsi="Times New Roman"/>
          <w:sz w:val="24"/>
        </w:rPr>
        <w:t>C 23.00 – Piaci kockázat: az árukockázat sztenderd módszerei</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833256"/>
      <w:r>
        <w:rPr>
          <w:rFonts w:ascii="Times New Roman" w:hAnsi="Times New Roman"/>
          <w:sz w:val="24"/>
          <w:u w:val="none"/>
        </w:rPr>
        <w:t>7.1.</w:t>
      </w:r>
      <w:r w:rsidRPr="00997ABE">
        <w:rPr>
          <w:u w:val="none"/>
        </w:rPr>
        <w:tab/>
      </w:r>
      <w:r>
        <w:rPr>
          <w:rFonts w:ascii="Times New Roman" w:hAnsi="Times New Roman"/>
          <w:sz w:val="24"/>
        </w:rPr>
        <w:t>Általános megjegyzések</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Ezen a táblán a sztenderd módszer alkalmazási körébe tartozó árupozíciókról, valamint a rájuk vonatkozó szavatolótőke-követelményről kell adatot szolgáltatni.</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833257"/>
      <w:r>
        <w:rPr>
          <w:rFonts w:ascii="Times New Roman" w:hAnsi="Times New Roman"/>
          <w:sz w:val="24"/>
          <w:u w:val="none"/>
        </w:rPr>
        <w:t>7.2.</w:t>
      </w:r>
      <w:r w:rsidRPr="00997ABE">
        <w:rPr>
          <w:u w:val="none"/>
        </w:rPr>
        <w:tab/>
      </w:r>
      <w:r>
        <w:rPr>
          <w:rFonts w:ascii="Times New Roman" w:hAnsi="Times New Roman"/>
          <w:sz w:val="24"/>
        </w:rPr>
        <w:t>A tábla egyes részeire vonatkozó útmutató</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357. cikkének (4) bekezdése szerint azonos áruban lévő pozícióknak minősülő bruttó hosszú/rövid pozíciók (lásd még az említett rendelet 359. cikkének (1) bekezdését).</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Az 575/2013/EU rendelet 357. cikkének (3) bekezdése szerint.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Azok a nettó pozíciók, amelyekre az 575/2013/EU rendelet harmadik része IV. címének 4. fejezetében foglalt különböző módszerek szerint tőkekövetelmény vonatkozik.</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Az 575/2013/EU rendelet harmadik része IV. címének 4. fejezete szerint számított szavatolótőke-követelmény bármely releváns pozícióra vonatkozóan</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Az 575/2013/EU rendelet 92. cikke (6) bekezdésének b) pontja.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A szavatolótőke-követelmény 12,5-del való szorzásának az eredménye.</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6C9A3A8"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ÁRUPOZÍCIÓK ÖSSZESEN</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Árupozíciók és a rájuk vonatkozó piaci kockázat szavatolótőke-követelménye az 575/2013/EU rendelet 92. cikke (4) bekezdésének c) pontja, valamint az említett rendelet harmadik része IV. címének 4. fejezete szerint.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ÁRUKATEGÓRIA SZERINT</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Adatszolgáltatás céljából az árukat az 575/2013/EU rendelet 361. cikkében található 2. táblázatban említett négy árucsoportba kell sorolni.</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LEJÁRATI TÁBLÁS MÓDSZER</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359. cikkében említett lejárati táblás módszer alkalmazási körébe tartozó árupozíciók.</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KITERJESZTETT LEJÁRATI TÁBLÁS MÓDSZER</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361. cikkében említett kiterjesztett lejárati táblás módszer alkalmazási körébe tartozó árupozíciók.</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EGYSZERŰSÍTETT MÓDSZER</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360. cikkében említett egyszerűsített módszer alkalmazási körébe tartozó árupozíciók.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Az 575/2013/EU rendelet 358. cikkének (4) bekezdése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követelményeket a számítási módszerben kell feltüntetni.</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833258"/>
      <w:r>
        <w:rPr>
          <w:rFonts w:ascii="Times New Roman" w:hAnsi="Times New Roman"/>
          <w:sz w:val="24"/>
        </w:rPr>
        <w:t>8.</w:t>
      </w:r>
      <w:r w:rsidRPr="00997ABE">
        <w:rPr>
          <w:u w:val="none"/>
        </w:rPr>
        <w:tab/>
      </w:r>
      <w:r>
        <w:rPr>
          <w:rFonts w:ascii="Times New Roman" w:hAnsi="Times New Roman"/>
          <w:sz w:val="24"/>
        </w:rPr>
        <w:t>C 24.00 – Piaci kockázat: belső modell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833259"/>
      <w:r>
        <w:rPr>
          <w:rFonts w:ascii="Times New Roman" w:hAnsi="Times New Roman"/>
          <w:sz w:val="24"/>
          <w:u w:val="none"/>
        </w:rPr>
        <w:t>8.1.</w:t>
      </w:r>
      <w:r w:rsidRPr="00997ABE">
        <w:rPr>
          <w:u w:val="none"/>
        </w:rPr>
        <w:tab/>
      </w:r>
      <w:r>
        <w:rPr>
          <w:rFonts w:ascii="Times New Roman" w:hAnsi="Times New Roman"/>
          <w:sz w:val="24"/>
        </w:rPr>
        <w:t>Általános megjegyzések</w:t>
      </w:r>
      <w:bookmarkEnd w:id="159"/>
      <w:bookmarkEnd w:id="160"/>
    </w:p>
    <w:p w14:paraId="2B3D1454" w14:textId="708078C0" w:rsidR="005970B6" w:rsidRPr="002D60D7" w:rsidRDefault="005970B6" w:rsidP="00E172EA">
      <w:pPr>
        <w:pStyle w:val="InstructionsText2"/>
        <w:numPr>
          <w:ilvl w:val="0"/>
          <w:numId w:val="29"/>
        </w:numPr>
        <w:suppressAutoHyphens/>
      </w:pPr>
      <w:r>
        <w:t>Ez a tábla a kockáztatott érték (VaR) és a stresszhelyzeti kockáztatott érték (sVaR) adatait mutatja be különböző (adósságinstrumentumokkal, részvényekkel, külföldi pénznemekkel vagy áruval kapcsolatos) piaci kockázatok szerinti bontásban, továbbá a szavatolótőke-követelmény számítása szempontjából lényeges egyéb információkat.</w:t>
      </w:r>
    </w:p>
    <w:p w14:paraId="6141A6DE" w14:textId="106A2D11" w:rsidR="005970B6" w:rsidRDefault="005970B6" w:rsidP="00E172EA">
      <w:pPr>
        <w:pStyle w:val="InstructionsText2"/>
        <w:numPr>
          <w:ilvl w:val="0"/>
          <w:numId w:val="29"/>
        </w:numPr>
        <w:suppressAutoHyphens/>
      </w:pPr>
      <w:r>
        <w:t xml:space="preserve">Általában a befektetési vállalkozás modelljének felépítésétől függ, hogy az általános és egyedi kockázatra vonatkozó adatokat elkülönítve vagy csak összesítve lehet-e meghatározni és feltüntetni. Ugyanez vonatkozik a VaR/Stress-VaR értékek kockázati kategóriák (kamatlábkockázat, részvénypiaci kockázat, árukockázat, valamint devizaárfolyam-kockázat) szerinti bontására is. Az intézmény eltekinthet a fenti bontásban történő adatszolgáltatástól, ha bizonyítani tudja, hogy az indokolatlan terhet jelentene számára.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833260"/>
      <w:r>
        <w:rPr>
          <w:rFonts w:ascii="Times New Roman" w:hAnsi="Times New Roman"/>
          <w:sz w:val="24"/>
          <w:u w:val="none"/>
        </w:rPr>
        <w:t>8.2.</w:t>
      </w:r>
      <w:r w:rsidRPr="00997ABE">
        <w:rPr>
          <w:u w:val="none"/>
        </w:rPr>
        <w:tab/>
      </w:r>
      <w:r>
        <w:rPr>
          <w:rFonts w:ascii="Times New Roman" w:hAnsi="Times New Roman"/>
          <w:sz w:val="24"/>
        </w:rPr>
        <w:t>A tábla egyes részeire vonatkozó útmutató</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Oszlop</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Kockáztatott érték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Egy adott valószínűséggel, meghatározott időtávon bekövetkező árváltozásból származó veszteség maximális lehetséges mértéke.</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Szorzó (mc) x Előző 60 munkanap átalagos kockáztatott értéke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364. cikke (1) bekezdése a) pontjának ii. alpontja, valamint 365. cikkének (1) bekezdése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Előző napi kockáztatott érték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364. cikke (1) bekezdése a) pontjának i. alpontja, valamint 365. cikkének (1) bekezdése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Stresszhelyzeti kockáztatott érték</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Egy adott valószínűséggel, meghatározott időtávon bekövetkező árváltozásból származó veszteség maximális lehetséges mértéke, amelynek kiszámításához a bemeneti adatokat az intézmény portfóliója szempontjából lényeges, számottevő pénzügyi stresszhelyzetet jelentő, folyamatos 12 hónapos időszak történeti adatai alapján kell kalibrálni.</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Szorzó (ms) x Előző 60 munkanap átlaga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Az 575/2013/EU rendelet 364. cikke (1) bekezdése b) pontjának ii. alpontja, valamint 365. cikkének (1) bekezdése</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Legfrissebb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364. cikke (1) bekezdése b) pontjának i. alpontja, valamint 365. cikkének (1) bekezdése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JÁRULÉKOS NEMTELJESÍTÉSI ÉS ÁTMINŐSÍTÉSI KOCKÁZATRA VONATKOZÓ TŐKEKÖVETELMÉNY</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A járulékos nemteljesítési és átminősítési kockázatra vonatkozó tőkekövetelmény a nemteljesítési és átminősítési kockázatokkal összefüggésben bekövetkező árváltozásból származó veszteség maximális lehetséges mértéke, amelynek kiszámítása az 575/2013/EU rendelet harmadik része IV. címe 5. fejezetének 4. szakaszával összefüggésben a rendelet 364. cikke (2) bekezdésének b) pontja alapján történik.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hetes átlagos mérőszám</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364. cikke (2) bekezdése b) pontjának ii. alpontja, a rendelet harmadik része IV. címe 5. fejezetének 4. szakaszával összefüggésben</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Legfrissebb mérőszám</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Az 575/2013/EU rendelet 364. cikke (2) bekezdése b) pontjának i. alpontja, a rendelet harmadik része IV. címe 5. fejezetének 4. szakaszával összefüggésben</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ÁRKOCKÁZATI TŐKEKÖVETELMÉNY A CTP-RE VONATKOZÓAN</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ALSÓ KORLÁT</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Az 575/2013/EU rendelet 364. cikke (3) bekezdésének c) pontja</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azon tőkekövetelmény 8 %-a, amely az 575/2013/EU rendelet 338. cikkének (1) bekezdése szerint került volna kiszámításra a teljes árkockázati tőkekövetelménnyel érintett valamennyi pozíció tekintetében.</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HETES ÁTLAGOS MÉRŐSZÁM ÉS LEGFRISSEBB MÉRŐSZÁM</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Az 575/2013/EU rendelet 364. cikke (3) bekezdésének b) pontja</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LEGFRISSEBB MÉRŐSZÁM</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Az 575/2013/EU rendelet 364. cikke (3) bekezdésének a) pontja</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364. cikkében említett szavatolótőke-követelmények az összes kockázati tényezőre vonatkozóan, adott esetben figyelembe véve a korrelációs hatásokat, valamint a járulékos nemteljesítési és átminősítési kockázatot és a CTP-ben árazott valamennyi kockázatot, figyelmen kívül hagyva azonban az említett rendelet 364. cikkének (2) bekezdése szerinti, az értékpapírosításhoz és az n-edik nemteljesítéskor lehívható hitelderivatívákhoz kapcsolódó tőkekövetelményt.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92. cikke (6) bekezdésének b) pontja.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szavatolótőke-követelmény 12,5-del való szorzásának az eredménye.</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Túllépések száma az előző 250 munkanap során</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Az 575/2013/EU rendelet 366. cikkében említettek szerint</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Azon túllépések számát kell feltüntetni, amelyek alapján a kiegészítő tétel meghatározásra kerül. Amennyiben a befektetési vállalkozások az 575/2013/EU rendelet 500c. cikke szerint kizárhatnak bizonyos túllépéseket a kiegészítő tételek számításából, az ebben az oszlopban feltüntetett túllépések száma nem tartalmazhatja e kizárt túllépéseket.</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VaR szorzó (mc) és SVaR szorzó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Az 575/2013/EU rendelet 366. cikkében említettek szerint</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A szavatolótőke-követelmények kiszámításához ténylegesen alkalmazandó szorzókat kell megadni, adott esetben az 575/2013/EU rendelet 500c. cikkének alkalmazása után.</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CTP-TŐKEKÖVETELMÉNY FELTÉTELEZETT ALSÓ KORLÁTJA – SÚLYOZOTT NETTÓ HOSSZÚ/RÖVID POZÍCIÓK A FELSŐ KORLÁT FIGYELEMBEVÉTELÉVEL</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A feltüntetett és a teljes árkockázati tőkekövetelményre vonatkozó, az 575/2013/EU rendelet 364. cikke (3) bekezdésének c) pontja szerinti alsó határ kiszámításához felhasznált összeg figyelembe veszi az említett rendelet 335. cikkében meghatározott jogosultságot, amely előírja, hogy egy intézmény a nemteljesítési kockázathoz kapcsolódó veszteség lehetséges maximális összegében korlátozhatja a súly és a nettó pozíció szorzatát.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5E9E0252"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Sor</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ÖSSZESEN</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Az 575/2013/EU rendelet 363. cikkének (1) bekezdésében említett pozíció-, devizaárfolyam- és árukockázatnak az a része, amely az említett rendelet 367. cikkének (2) bekezdésében említett kockázati tényezőkhöz kapcsolódik.</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0030–0060-as oszlop VaR és Stress-VaR értékeit illetően az összesítő sorban szereplő adatok nem egyeznek meg a vonatkozó kockázati elemek szerint lebontott VaR és Stress-VaR értékekkel.</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KERESKEDETT, HITELVISZONYT MEGTESTESÍTŐ ÉRTÉKPAPÍROK</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Az 575/2013/EU rendelet 363. cikkének (1) bekezdésében említett pozíciókockázatnak az a része, amely az említett rendelet 367. cikke (2) bekezdésének a) pontjában meghatározott kamatláb-kockázati tényezőkhöz kapcsolódik.</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ÁLTALÁNOS KOCKÁZAT</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Az 575/2013/EU rendelet 362. cikkében említett általános kockázati elem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EGYEDI KOCKÁZAT</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362. cikkében említett egyedi kockázati elem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363. cikkének (1) bekezdésében említett pozíciókockázatnak az a része, amely az említett rendelet 367. cikke (2) bekezdésének c) pontjában meghatározott részvénypiaci kockázati tényezőkhöz kapcsolódik.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 – ÁLTALÁNOS KOCKÁZAT</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Az 575/2013/EU rendelet 362. cikkében említett általános kockázati elem</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 – EGYEDI KOCKÁZAT</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362. cikkében említett egyedi kockázati elem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DEVIZAÁRFOLYAM-KOCKÁZAT</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Az 575/2013/EU rendelet 363. cikkének (1) bekezdése, valamint 367. cikke (2) bekezdésének b) pontja</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ÁRUKOCKÁZAT</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363. cikkének (1) bekezdése, valamint 367. cikke (2) bekezdésének d) pontja.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ÁLTALÁNOS KOCKÁZAT ÖSSZESEN</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A kereskedett, hitelviszonyt megtestesítő értékpapírok, részvények, külföldi pénznemek és áruk általános piaci mozgásaiból eredő piaci kockázat. Az összes kockázati tényező általános kockázatára vonatkozó VaR érték (az esetleges korrelációs hatások figyelembevételével).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 ÖSSZESEN</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A kereskedett, hitelviszonyt megtestesítő értékpapírok és részvények egyedi kockázati eleme. A kereskedési könyvben nyilvántartott, kereskedett, hitelviszonyt megtestesítő értékpapírok és részvények egyedi kockázatára vonatkozó VaR érték (az esetleges korrelációs hatások figyelembevételével).</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4359F" w14:textId="77777777" w:rsidR="00DB38A6" w:rsidRDefault="00DB38A6" w:rsidP="00D946DB">
      <w:pPr>
        <w:spacing w:before="0" w:after="0"/>
      </w:pPr>
      <w:r>
        <w:separator/>
      </w:r>
    </w:p>
  </w:endnote>
  <w:endnote w:type="continuationSeparator" w:id="0">
    <w:p w14:paraId="18AC8C6A" w14:textId="77777777" w:rsidR="00DB38A6" w:rsidRDefault="00DB38A6" w:rsidP="00D946DB">
      <w:pPr>
        <w:spacing w:before="0" w:after="0"/>
      </w:pPr>
      <w:r>
        <w:continuationSeparator/>
      </w:r>
    </w:p>
  </w:endnote>
  <w:endnote w:type="continuationNotice" w:id="1">
    <w:p w14:paraId="6E038E9D" w14:textId="77777777" w:rsidR="00DB38A6" w:rsidRDefault="00DB38A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C63BC" w14:textId="77777777" w:rsidR="00DB38A6" w:rsidRDefault="00DB38A6" w:rsidP="00D946DB">
      <w:pPr>
        <w:spacing w:before="0" w:after="0"/>
      </w:pPr>
      <w:r>
        <w:separator/>
      </w:r>
    </w:p>
  </w:footnote>
  <w:footnote w:type="continuationSeparator" w:id="0">
    <w:p w14:paraId="07966F64" w14:textId="77777777" w:rsidR="00DB38A6" w:rsidRDefault="00DB38A6" w:rsidP="00D946DB">
      <w:pPr>
        <w:spacing w:before="0" w:after="0"/>
      </w:pPr>
      <w:r>
        <w:continuationSeparator/>
      </w:r>
    </w:p>
  </w:footnote>
  <w:footnote w:type="continuationNotice" w:id="1">
    <w:p w14:paraId="68B42E71" w14:textId="77777777" w:rsidR="00DB38A6" w:rsidRDefault="00DB38A6">
      <w:pPr>
        <w:spacing w:before="0" w:after="0"/>
      </w:pPr>
    </w:p>
  </w:footnote>
  <w:footnote w:id="2">
    <w:p w14:paraId="3507A652" w14:textId="1546AF66" w:rsidR="00C3070C" w:rsidRPr="00B828CC" w:rsidRDefault="00C3070C" w:rsidP="00C91751">
      <w:r>
        <w:rPr>
          <w:rStyle w:val="FootnoteReference"/>
        </w:rPr>
        <w:footnoteRef/>
      </w:r>
      <w:r>
        <w:t xml:space="preserve"> </w:t>
      </w:r>
      <w:r w:rsidRPr="00B73089">
        <w:rPr>
          <w:rFonts w:ascii="Times New Roman" w:hAnsi="Times New Roman"/>
        </w:rPr>
        <w:t>A Bizottság 525/2014/EU felhatalmazáson alapuló rendelete (2014. március 12.) az 575/2013/EU európai parlamenti és tanácsi rendeletnek a piac fogalmát meghatározó szabályozástechnikai standardok tekintetében való kiegészítéséről (HL L 148., 2014.5.20., 15. o., ELI: http://data.europa.eu/eli/reg_del/2014/525/oj)</w:t>
      </w:r>
      <w:r w:rsidRPr="00B73089">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A Bizottság 945/2014/EU végrehajtási rendelete (2014. szeptember 4.) az 575/2013/EU európai parlamenti és tanácsi rendelet szerinti releváns, megfelelően diverzifikált indexek tekintetében végrehajtás-technikai standardok megállapításáról (HL L 265., 2014.9.5., 3. o.,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Az </w:t>
      </w:r>
      <w:bookmarkStart w:id="129" w:name="_Hlk204078738"/>
      <w:r>
        <w:t>Európai Parlament és a Tanács</w:t>
      </w:r>
      <w:bookmarkEnd w:id="129"/>
      <w:r>
        <w:t xml:space="preserve"> 2014/65/EU irányelve (2014. május 15.) a pénzügyi eszközök piacairól, valamint a 2002/92/EK irányelv és a 2011/61/EU irányelv módosításáról (HL L 173., 2014.6.12., 349. o.,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H – szokásos felhasználásra"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H – szokásos felhasználásra"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H – szokásos felhasználásra"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2BFB"/>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86"/>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1A3B"/>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97ABE"/>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193"/>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171"/>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3D96"/>
    <w:rsid w:val="00B64EB6"/>
    <w:rsid w:val="00B65593"/>
    <w:rsid w:val="00B65598"/>
    <w:rsid w:val="00B704AB"/>
    <w:rsid w:val="00B71CD5"/>
    <w:rsid w:val="00B71DAC"/>
    <w:rsid w:val="00B723C6"/>
    <w:rsid w:val="00B72E87"/>
    <w:rsid w:val="00B73089"/>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950"/>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8A6"/>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aliases w:val="Title 2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u-HU"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4.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24</Pages>
  <Words>5805</Words>
  <Characters>43175</Characters>
  <Application>Microsoft Office Word</Application>
  <DocSecurity>0</DocSecurity>
  <Lines>1199</Lines>
  <Paragraphs>627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LOVASZIK Gabor (DGT)</cp:lastModifiedBy>
  <cp:revision>12</cp:revision>
  <dcterms:created xsi:type="dcterms:W3CDTF">2025-10-06T12:40:00Z</dcterms:created>
  <dcterms:modified xsi:type="dcterms:W3CDTF">2025-10-09T07:47:00Z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